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F" w:rsidRPr="00191F8F" w:rsidRDefault="00191F8F" w:rsidP="00191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191F8F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DECRETO Nº 7.174, DE 12 DE MAIO DE 2010.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191F8F" w:rsidRPr="00191F8F" w:rsidTr="00191F8F">
        <w:trPr>
          <w:trHeight w:val="285"/>
          <w:tblCellSpacing w:w="0" w:type="dxa"/>
        </w:trPr>
        <w:tc>
          <w:tcPr>
            <w:tcW w:w="2350" w:type="pct"/>
            <w:vAlign w:val="center"/>
            <w:hideMark/>
          </w:tcPr>
          <w:p w:rsidR="00191F8F" w:rsidRPr="00191F8F" w:rsidRDefault="00191F8F" w:rsidP="0019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50" w:type="pct"/>
            <w:vAlign w:val="center"/>
            <w:hideMark/>
          </w:tcPr>
          <w:p w:rsidR="00191F8F" w:rsidRPr="00191F8F" w:rsidRDefault="00191F8F" w:rsidP="00191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1F8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Regulamenta a contratação de bens e serviços de informática e automação pela administração pública federal, direta ou indireta, pelas fundações instituídas ou mantidas pelo Poder Público e pelas demais organizações sob o controle direto ou indireto da União. </w:t>
            </w:r>
          </w:p>
        </w:tc>
      </w:tr>
    </w:tbl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REPÚBLICA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atribuições que lhe confere o art. 84, incisos IV e VI, alínea “a”, da Constituição, e tendo em vista o disposto no § 4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art. 45 da Lei n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8.666, de 21 de junho de 1993, no art.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Lei n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8.248, de 23 de outubro de 1991, na Lei n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10.520, de 17 de julho de 2002, e na Lei Complementar n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123, de 14 de dezembro de 2006,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DECRETA: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contratações de bens e serviços de informática e automação pelos órgãos e entidades da administração pública federal, direta e indireta, pelas fundações instituídas e mantidas pelo Poder Público e pelas demais organizações sob o controle direto ou indireto da União, serão realizadas conforme o disciplinado neste Decreto, assegurada a atribuição das preferências previstas no </w:t>
      </w:r>
      <w:hyperlink r:id="rId5" w:anchor="art3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3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da Lei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8.248, de 23 de outubro de 1991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na </w:t>
      </w:r>
      <w:hyperlink r:id="rId6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Complementar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123, de 14 de dezembro de 2006.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191F8F" w:rsidRPr="00191F8F" w:rsidRDefault="00191F8F" w:rsidP="00191F8F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aquisição de bens e serviços de tecnologia da informação e automação deverá ser precedida da elaboração de planejamento da contratação, incluindo projeto básico ou termo de referência contendo as especificações do objeto a ser contratado, vedando-se as especificações que:</w:t>
      </w:r>
    </w:p>
    <w:p w:rsidR="00191F8F" w:rsidRPr="00191F8F" w:rsidRDefault="00191F8F" w:rsidP="00191F8F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direcionem ou favoreçam a contratação de um fornecedor específico;</w:t>
      </w:r>
    </w:p>
    <w:p w:rsidR="00191F8F" w:rsidRPr="00191F8F" w:rsidRDefault="00191F8F" w:rsidP="00191F8F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não representem a real demanda de desempenho do órgão ou entidade;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não explicitem métodos objetivos de mensuração do desempenho dos bens e serviços de informática e automação.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Compete ao Ministério do Planejamento, Orçamento e Gestão expedir normas complementares sobre o processo de contratação de bens e serviços de informática e automação. </w:t>
      </w:r>
    </w:p>
    <w:p w:rsidR="00191F8F" w:rsidRPr="00191F8F" w:rsidRDefault="00191F8F" w:rsidP="00191F8F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Além dos requisitos dispostos na legislação vigente, nas aquisições de bens de informática e automação, o instrumento convocatório deverá conter, obrigatoriamente:</w:t>
      </w:r>
    </w:p>
    <w:p w:rsidR="00191F8F" w:rsidRPr="00191F8F" w:rsidRDefault="00191F8F" w:rsidP="00191F8F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as normas e especificações técnicas a serem consideradas na licitação;</w:t>
      </w:r>
    </w:p>
    <w:p w:rsidR="00191F8F" w:rsidRPr="00191F8F" w:rsidRDefault="00191F8F" w:rsidP="00191F8F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as exigências, na fase de habilitação, de certificações emitidas por instituições públicas ou privadas credenciadas pelo Instituto Nacional de Metrologia, Normalização e Qualidade Industrial - Inmetro, que atestem, conforme regulamentação específica, a adequação dos seguintes requisitos: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a) segurança para o usuário e instalações;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compatibilidade eletromagnética; e 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consumo de energia;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exigência contratual de comprovação da origem dos bens importados oferecidos pelos licitantes e da quitação dos tributos de importação a eles referentes, que deve ser apresentada no momento da entrega do objeto, sob pena de rescisão contratual e multa;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as ferramentas de aferição de desempenho que serão utilizadas pela administração para medir o desempenho dos bens ofertados, quando for o caso.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instrumentos convocatórios para contratação de bens e serviços de informática e automação deverão conter regra prevendo a aplicação das preferências previstas no </w:t>
      </w:r>
      <w:hyperlink r:id="rId7" w:anchor="capitulov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Capítulo V da Lei Complementar nº 123, de 2006,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observado o disposto no art. 8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deste Decreto. 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assegurada preferência na contratação, nos termos do disposto no </w:t>
      </w:r>
      <w:hyperlink r:id="rId8" w:anchor="art3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3º da Lei nº 8.248, de 1991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fornecedores de bens e serviços, observada a seguinte ordem: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bens e serviços com tecnologia desenvolvida no País e produzidos de acordo com o Processo Produtivo Básico (PPB), na forma definida pelo Poder Executivo Federal;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bens e serviços com tecnologia desenvolvida no País;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bens e serviços produzidos de acordo com o PPB, na forma definida pelo Poder Executivo Federal.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As microempresas e empresas de pequeno porte que atendam ao disposto nos incisos do </w:t>
      </w:r>
      <w:r w:rsidRPr="0019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terão prioridade no exercício do direito de preferência em relação às médias e grandes empresas enquadradas no mesmo inciso.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os efeitos deste Decreto, consideram-se bens e serviços de informática e automação com tecnologia desenvolvida no País aqueles cujo efetivo desenvolvimento local seja comprovado junto ao Ministério da Ciência e Tecnologia, na forma por este regulamentada.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comprovação do atendimento ao PPB dos bens de informática e automação ofertados será feita mediante apresentação do documento comprobatório da habilitação à fruição dos incentivos fiscais regulamentados pelo </w:t>
      </w:r>
      <w:hyperlink r:id="rId9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5.906, de 26 de setembro de 2006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ou pelo </w:t>
      </w:r>
      <w:hyperlink r:id="rId10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6.008, de 29 de dezembro de 2006.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A comprovação prevista no </w:t>
      </w:r>
      <w:r w:rsidRPr="00191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feita: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eletronicamente, por meio de consulta ao sítio eletrônico oficial do Ministério da Ciência e Tecnologia ou da Superintendência da Zona Franca de Manaus - SUFRAMA; ou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por documento expedido para esta finalidade pelo Ministério da Ciência e Tecnologia ou pela SUFRAMA, mediante solicitação do licitante. 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exercício do direito de preferência disposto neste Decreto será concedido após o encerramento da fase de apresentação das propostas ou lances, observando-se os seguintes procedimentos, sucessivamente: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aplicação das regras de preferência para as microempresas e empresas de pequeno porte dispostas no </w:t>
      </w:r>
      <w:hyperlink r:id="rId11" w:anchor="capitulov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Capítulo V da Lei Complementar nº 123, de 2006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quando for o caso;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aplicação das regras de preferência previstas no art.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a classificação dos licitantes cujas propostas finais estejam situadas até dez por cento acima da melhor proposta válida, conforme o critério de julgamento, para a comprovação e o exercício do direito de preferência;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convocação dos licitantes classificados que estejam enquadrados no inciso I do art.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ordem de classificação, para que possam oferecer nova proposta ou novo lance para igualar ou superar a melhor proposta válida, caso em que será declarado vencedor do certame;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caso a preferência não seja exercida na forma do inciso III, por qualquer motivo, serão convocadas as empresas classificadas que estejam enquadradas no inciso II do art.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ordem de classificação, para a comprovação e o exercício do direito de preferência, aplicando-se a mesma regra para o inciso III do art.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caso esse direito não seja exercido;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caso nenhuma empresa classificada venha a exercer o direito de preferência, observar-se-ão as regras usuais de classificação e julgamento previstas na </w:t>
      </w:r>
      <w:hyperlink r:id="rId12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8.666, de 21 de junho de 1993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na </w:t>
      </w:r>
      <w:hyperlink r:id="rId13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10.520, de 17 de julho de 2002. </w:t>
        </w:r>
      </w:hyperlink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caso de empate de preços entre licitantes que se encontrem na mesma ordem de classificação, proceder-se-á ao sorteio para escolha do que primeiro poderá ofertar nova proposta.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licitações do tipo técnica e preço, a nova proposta será exclusivamente em relação ao preço e deverá ser suficiente para que o licitante obtenha os pontos necessários para igualar ou superar a pontuação final obtida pela proposta mais bem classificada.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exercício do direito de preferência, os fornecedores dos bens e serviços de informática e automação deverão apresentar, junto com a documentação necessária à habilitação, declaração, sob as penas da lei, de que atendem aos requisitos legais para a qualificação como microempresa ou empresa de pequeno porte, se for o caso, bem como a comprovação de que atendem aos requisitos estabelecidos nos incisos I, II e III do art.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§ 4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licitações na modalidade de pregão, a declaração a que se refere o §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ser apresentada no momento da apresentação da proposta.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licitações do tipo técnica e preço, os licitantes cujas propostas não tenham obtido a pontuação técnica mínima exigida não poderão exercer a preferência.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9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contratação de bens e serviços de informática e automação, deverão ser adotados os tipos de licitação “menor preço” ou “técnica e preço”, conforme disciplinado neste Decreto, ressalvadas as hipóteses de dispensa ou inexigibilidade previstas na legislação.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licitação do tipo menor preço será exclusiva para a aquisição de bens e serviços de informática e automação considerados comuns, na forma do parágrafo único do </w:t>
      </w:r>
      <w:hyperlink r:id="rId14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1º da Lei nº 10.520, de 2002,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deverá ser realizada na modalidade de pregão, preferencialmente na forma eletrônica, conforme determina o </w:t>
      </w:r>
      <w:hyperlink r:id="rId15" w:anchor="art4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4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5.450, de 31 de maio de 2005. </w:t>
        </w:r>
      </w:hyperlink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considerado comum o bem ou serviço cuja especificação estabelecer padrão objetivo de desempenho e qualidade e for capaz de ser atendida por vários fornecedores, ainda que existam outras soluções disponíveis no mercado.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 aquisições de bens e serviços que não sejam comuns em que o valor global estimado for igual ou inferior ao da modalidade convite, não será obrigatória a utilização da licitação do tipo “técnica e preço”.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4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licitação do tipo técnica e preço será utilizada exclusivamente para bens e serviços de informática e automação de natureza predominantemente intelectual, justificadamente, assim considerados quando a especificação do objeto evidenciar que os bens ou serviços demandados requerem individualização ou inovação tecnológica, e possam apresentar diferentes metodologias, tecnologias e níveis de qualidade e desempenho, sendo necessário avaliar as vantagens e desvantagens de cada solução.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5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Quando da adoção do critério de julgamento técnica e preço, será vedada a utilização da modalidade convite , independentemente do valor. 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10. No julgamento das propostas nas licitações do tipo “técnica e preço” deverão ser adotados os seguintes procedimentos: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91F8F">
        <w:rPr>
          <w:rFonts w:ascii="Arial" w:eastAsia="Times New Roman" w:hAnsi="Arial" w:cs="Arial"/>
          <w:sz w:val="20"/>
          <w:szCs w:val="20"/>
          <w:lang w:eastAsia="pt-BR"/>
        </w:rPr>
        <w:t>I - determinação da pontuação técnica das propostas, em conformidade com os critérios e parâmetros previamente estabelecidos no ato convocatório da licitação, mediante o somatório das multiplicações das notas dadas aos seguintes fatores, pelos pesos atribuídos a cada um deles, de acordo com a sua importância relativa às finalidades do objeto da licitação, justificadamente: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prazo de entrega;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suporte de serviços;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qualidade;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padronização;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e) compatibilidade;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f) desempenho;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191F8F">
        <w:rPr>
          <w:rFonts w:ascii="Arial" w:eastAsia="Times New Roman" w:hAnsi="Arial" w:cs="Arial"/>
          <w:sz w:val="20"/>
          <w:szCs w:val="20"/>
          <w:lang w:eastAsia="pt-BR"/>
        </w:rPr>
        <w:t>g) garantia técnica;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desclassificação das propostas que não obtiverem a pontuação técnica mínima exigida no edital;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determinação do índice técnico, mediante a divisão da pontuação técnica da proposta em exame pela de maior pontuação técnica;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determinação do índice de preço, mediante a divisão do menor preço proposto pelo preço da proposta em exame;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multiplicação do índice técnico de cada proposta pelo fator de ponderação, fixado previamente no edital da licitação;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multiplicação do índice de preço de cada proposta pelo complemento em relação a dez do valor do fator de ponderação adotado;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- a obtenção do valor da avaliação de cada proposta, pelo somatório dos valores obtidos nos incisos V e VI.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Quando justificável, em razão da natureza do objeto licitado, o órgão ou entidade licitante poderá excluir do julgamento técnico até quatro dos fatores relacionados no inciso I.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fatores estabelecidos no inciso I para atribuição de notas poderão ser subdivididos em subfatores com valoração diversa, de acordo com suas importâncias relativas dentro de cada fator, devendo o órgão licitante, neste caso, especificar e justificar no ato convocatório da licitação essas subdivisões e respectivos valores.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Após a obtenção do valor da avaliação e classificação das propostas válidas, deverá ser concedido o direito de preferência, na forma do art. 8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11. Os Ministérios do Planejamento, Orçamento e Gestão e o da Ciência e Tecnologia poderão expedir instruções complementares para a execução deste Decreto.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2"/>
      <w:bookmarkEnd w:id="0"/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12. Os </w:t>
      </w:r>
      <w:hyperlink r:id="rId16" w:anchor="art3§2.anexoi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§§ 2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3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art. 3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Anexo I ao 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3.555, de 8 de agosto de 2000,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passam a vigorar com a seguinte redação: </w:t>
      </w:r>
    </w:p>
    <w:p w:rsidR="00191F8F" w:rsidRPr="00191F8F" w:rsidRDefault="00191F8F" w:rsidP="00191F8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“§ 2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Consideram-se bens e serviços comuns aqueles cujos padrões de desempenho e qualidade possam ser objetivamente definidos no edital, por meio de especificações usuais praticadas no mercado.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bens e serviços de informática e automação adquiridos nesta modalidade deverão observar o disposto no art. 3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Lei n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8.248, de 23 de outubro de 1991, e a regulamentação específica.” (NR) </w:t>
      </w:r>
    </w:p>
    <w:p w:rsidR="00191F8F" w:rsidRPr="00191F8F" w:rsidRDefault="00191F8F" w:rsidP="00191F8F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191F8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13. Este Decreto entra em vigor na data de sua publicação.</w:t>
      </w:r>
      <w:r w:rsidRPr="00191F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14"/>
      <w:bookmarkEnd w:id="1"/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14. Ficam revogados:</w:t>
      </w:r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o </w:t>
      </w:r>
      <w:hyperlink r:id="rId17" w:anchor="anexoii.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Anexo II ao 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3.555, de 8 de agosto de 2000;</w:t>
        </w:r>
      </w:hyperlink>
    </w:p>
    <w:p w:rsidR="00191F8F" w:rsidRPr="00191F8F" w:rsidRDefault="00191F8F" w:rsidP="00191F8F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</w:t>
      </w:r>
      <w:hyperlink r:id="rId18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1.070, de 2 de março de 1994</w:t>
        </w:r>
      </w:hyperlink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</w:t>
      </w:r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</w:t>
      </w:r>
      <w:hyperlink r:id="rId19" w:anchor="art1" w:history="1"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1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3.693, de 20 de dezembro de 2000, na parte em que altera o § 3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art. 3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Anexo I ao Decreto n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1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3.555, de 8 de agosto de 2000. </w:t>
        </w:r>
      </w:hyperlink>
    </w:p>
    <w:p w:rsidR="00191F8F" w:rsidRPr="00191F8F" w:rsidRDefault="00191F8F" w:rsidP="00191F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12 de maio de 2010; 189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122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 </w:t>
      </w:r>
    </w:p>
    <w:p w:rsidR="00191F8F" w:rsidRPr="00191F8F" w:rsidRDefault="00191F8F" w:rsidP="00191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19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91F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Paulo Bernardo Silva</w:t>
      </w:r>
    </w:p>
    <w:p w:rsidR="00191F8F" w:rsidRPr="00191F8F" w:rsidRDefault="00191F8F" w:rsidP="00191F8F">
      <w:pPr>
        <w:spacing w:before="335" w:after="335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1F8F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13.5.2010 </w:t>
      </w:r>
    </w:p>
    <w:p w:rsidR="009C7D54" w:rsidRDefault="009C7D54"/>
    <w:sectPr w:rsidR="009C7D54" w:rsidSect="009C7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91F8F"/>
    <w:rsid w:val="00191F8F"/>
    <w:rsid w:val="009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1F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F8F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1F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1F8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248.htm" TargetMode="External"/><Relationship Id="rId13" Type="http://schemas.openxmlformats.org/officeDocument/2006/relationships/hyperlink" Target="http://www.planalto.gov.br/ccivil_03/LEIS/2002/L10520.htm" TargetMode="External"/><Relationship Id="rId18" Type="http://schemas.openxmlformats.org/officeDocument/2006/relationships/hyperlink" Target="http://www.planalto.gov.br/ccivil_03/decreto/D1070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lanalto.gov.br/ccivil_03/LEIS/LCP/Lcp123.htm" TargetMode="External"/><Relationship Id="rId12" Type="http://schemas.openxmlformats.org/officeDocument/2006/relationships/hyperlink" Target="http://www.planalto.gov.br/ccivil_03/LEIS/L8666cons.htm" TargetMode="External"/><Relationship Id="rId17" Type="http://schemas.openxmlformats.org/officeDocument/2006/relationships/hyperlink" Target="http://www.planalto.gov.br/ccivil_03/decreto/D355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decreto/D3555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CP/Lcp123.htm" TargetMode="External"/><Relationship Id="rId11" Type="http://schemas.openxmlformats.org/officeDocument/2006/relationships/hyperlink" Target="http://www.planalto.gov.br/ccivil_03/LEIS/LCP/Lcp123.htm" TargetMode="External"/><Relationship Id="rId5" Type="http://schemas.openxmlformats.org/officeDocument/2006/relationships/hyperlink" Target="http://www.planalto.gov.br/ccivil_03/LEIS/L8248.htm" TargetMode="External"/><Relationship Id="rId15" Type="http://schemas.openxmlformats.org/officeDocument/2006/relationships/hyperlink" Target="http://www.planalto.gov.br/ccivil_03/_Ato2004-2006/2005/Decreto/D5450.htm" TargetMode="External"/><Relationship Id="rId10" Type="http://schemas.openxmlformats.org/officeDocument/2006/relationships/hyperlink" Target="http://www.planalto.gov.br/ccivil_03/_Ato2004-2006/2006/Decreto/D6008.htm" TargetMode="External"/><Relationship Id="rId19" Type="http://schemas.openxmlformats.org/officeDocument/2006/relationships/hyperlink" Target="http://www.planalto.gov.br/ccivil_03/decreto/D3693.htm" TargetMode="External"/><Relationship Id="rId4" Type="http://schemas.openxmlformats.org/officeDocument/2006/relationships/hyperlink" Target="http://legislacao.planalto.gov.br/legisla/legislacao.nsf/Viw_Identificacao/DEC%207.174-2010?OpenDocument" TargetMode="External"/><Relationship Id="rId9" Type="http://schemas.openxmlformats.org/officeDocument/2006/relationships/hyperlink" Target="http://www.planalto.gov.br/ccivil_03/_Ato2004-2006/2006/Decreto/D5906.htm" TargetMode="External"/><Relationship Id="rId14" Type="http://schemas.openxmlformats.org/officeDocument/2006/relationships/hyperlink" Target="http://www.planalto.gov.br/ccivil_03/LEIS/2002/L1052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11796</Characters>
  <Application>Microsoft Office Word</Application>
  <DocSecurity>0</DocSecurity>
  <Lines>98</Lines>
  <Paragraphs>27</Paragraphs>
  <ScaleCrop>false</ScaleCrop>
  <Company>Microsoft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2012-06-18T17:50:00Z</dcterms:created>
  <dcterms:modified xsi:type="dcterms:W3CDTF">2012-06-18T17:50:00Z</dcterms:modified>
</cp:coreProperties>
</file>