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425D2">
      <w:pPr>
        <w:pStyle w:val="Corpodetexto"/>
        <w:pageBreakBefore/>
        <w:numPr>
          <w:ilvl w:val="0"/>
          <w:numId w:val="2"/>
        </w:numPr>
        <w:spacing w:before="57" w:after="0"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commentRangeStart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ESTUDOS PRELIMINARES</w:t>
      </w:r>
      <w:commentRange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commentReference w:id="0"/>
      </w:r>
    </w:p>
    <w:p w:rsidR="00000000" w:rsidRDefault="008425D2">
      <w:pPr>
        <w:pStyle w:val="Corpodetexto"/>
        <w:spacing w:before="57" w:after="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1. Necessidade da contratação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2. Referência a outros instrumentos de planejamento do órgão ou entidade, se houver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3. Requisitos da contratação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4. Estimativa das quantidades, acompanhadas das memórias de cálculo e dos documen</w:t>
            </w:r>
            <w:r>
              <w:rPr>
                <w:rFonts w:ascii="Arial" w:hAnsi="Arial"/>
                <w:sz w:val="20"/>
                <w:szCs w:val="20"/>
              </w:rPr>
              <w:t>tos que lhe dão suporte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5. Levantamento de mercado e justificativa da escolha do tipo de solução a contratar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6. Definição do método para estimativas de preços ou dos meios de previsão de preços referenciais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7. Descrição da solução como um todo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8. Justificativas para o parcelamento ou não da solução, quando necessária para a individualização do objeto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9. Demonstrativo dos resultados pretendidos em termos de economicidade e de melhor aproveitamento dos recursos humanos, materiais ou financeiros</w:t>
            </w:r>
            <w:r>
              <w:rPr>
                <w:rFonts w:ascii="Arial" w:hAnsi="Arial"/>
                <w:sz w:val="20"/>
                <w:szCs w:val="20"/>
              </w:rPr>
              <w:t xml:space="preserve"> disponíveis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10. Providências para adequação do ambiente do órgão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11. Contratações correlatas e/ou interdependentes</w:t>
            </w: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35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12. Declaração da viabilidade ou não da contratação</w:t>
            </w:r>
          </w:p>
        </w:tc>
      </w:tr>
    </w:tbl>
    <w:p w:rsidR="00000000" w:rsidRDefault="008425D2">
      <w:pPr>
        <w:pStyle w:val="Corpodetexto"/>
        <w:spacing w:before="57" w:after="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8425D2">
      <w:pPr>
        <w:pStyle w:val="Corpodetexto"/>
        <w:spacing w:before="57" w:after="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7140"/>
      </w:tblGrid>
      <w:tr w:rsidR="00000000">
        <w:tc>
          <w:tcPr>
            <w:tcW w:w="9405" w:type="dxa"/>
            <w:gridSpan w:val="2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commentRangeStart w:id="1"/>
            <w:r>
              <w:rPr>
                <w:rStyle w:val="Forte"/>
                <w:rFonts w:ascii="Arial" w:hAnsi="Arial"/>
                <w:sz w:val="20"/>
                <w:szCs w:val="20"/>
              </w:rPr>
              <w:t>IN</w:t>
            </w:r>
            <w:r>
              <w:rPr>
                <w:rStyle w:val="Forte"/>
                <w:rFonts w:ascii="Arial" w:hAnsi="Arial"/>
                <w:sz w:val="20"/>
                <w:szCs w:val="20"/>
              </w:rPr>
              <w:t xml:space="preserve">DICAÇÃO DE SERVIDORES </w:t>
            </w:r>
            <w:r>
              <w:rPr>
                <w:rStyle w:val="Forte"/>
                <w:rFonts w:ascii="Arial" w:hAnsi="Arial"/>
                <w:sz w:val="20"/>
                <w:szCs w:val="20"/>
              </w:rPr>
              <w:t xml:space="preserve">RESPONSÁVEIS PELA ELABORAÇÃO DOS ESTUDOS </w:t>
            </w:r>
            <w:r>
              <w:rPr>
                <w:rStyle w:val="Forte"/>
                <w:rFonts w:ascii="Arial" w:hAnsi="Arial"/>
                <w:sz w:val="20"/>
                <w:szCs w:val="20"/>
              </w:rPr>
              <w:lastRenderedPageBreak/>
              <w:t>PRELIMINARE</w:t>
            </w:r>
            <w:r>
              <w:rPr>
                <w:rStyle w:val="Forte"/>
                <w:rFonts w:ascii="Arial" w:hAnsi="Arial"/>
                <w:sz w:val="20"/>
                <w:szCs w:val="20"/>
              </w:rPr>
              <w:t>S (</w:t>
            </w:r>
            <w:r>
              <w:rPr>
                <w:rStyle w:val="Forte"/>
                <w:rFonts w:ascii="Arial" w:hAnsi="Arial"/>
                <w:sz w:val="20"/>
                <w:szCs w:val="20"/>
              </w:rPr>
              <w:t>EQUIPE DE PLANEJAMENTO DA CONTRATAÇÃO/AQUISIÇÃO</w:t>
            </w:r>
            <w:commentRangeEnd w:id="1"/>
            <w:r>
              <w:rPr>
                <w:rStyle w:val="Forte"/>
                <w:rFonts w:ascii="Arial" w:hAnsi="Arial"/>
                <w:sz w:val="20"/>
                <w:szCs w:val="20"/>
              </w:rPr>
              <w:commentReference w:id="1"/>
            </w:r>
            <w:r>
              <w:rPr>
                <w:rStyle w:val="Forte"/>
                <w:rFonts w:ascii="Arial" w:hAnsi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226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Requisitante: 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Nome, Siape, Cargo</w:t>
            </w:r>
          </w:p>
        </w:tc>
      </w:tr>
      <w:tr w:rsidR="00000000">
        <w:tc>
          <w:tcPr>
            <w:tcW w:w="226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Integrante Requisitante: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Nome, Siape, Cargo</w:t>
            </w:r>
          </w:p>
        </w:tc>
      </w:tr>
      <w:tr w:rsidR="00000000">
        <w:tc>
          <w:tcPr>
            <w:tcW w:w="226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Integrante Requisitante: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Nome, Siape, Cargo</w:t>
            </w:r>
          </w:p>
        </w:tc>
      </w:tr>
      <w:tr w:rsidR="00000000">
        <w:tc>
          <w:tcPr>
            <w:tcW w:w="226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Integrante Técnico: (**)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Nome, Siape, Cargo</w:t>
            </w:r>
          </w:p>
        </w:tc>
      </w:tr>
      <w:tr w:rsidR="00000000">
        <w:tc>
          <w:tcPr>
            <w:tcW w:w="2265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</w:pPr>
            <w:r>
              <w:rPr>
                <w:rFonts w:ascii="Arial" w:hAnsi="Arial"/>
                <w:sz w:val="20"/>
                <w:szCs w:val="20"/>
              </w:rPr>
              <w:t>(...)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00000" w:rsidRDefault="008425D2">
            <w:pPr>
              <w:pStyle w:val="Contedodatabel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8425D2">
      <w:pPr>
        <w:pStyle w:val="Corpodetexto"/>
        <w:numPr>
          <w:ilvl w:val="0"/>
          <w:numId w:val="2"/>
        </w:numPr>
        <w:suppressAutoHyphens w:val="0"/>
        <w:spacing w:before="57" w:after="0" w:line="100" w:lineRule="atLeast"/>
        <w:jc w:val="both"/>
      </w:pPr>
      <w:r>
        <w:rPr>
          <w:rFonts w:ascii="Arial" w:eastAsia="Spranq eco sans" w:hAnsi="Arial" w:cs="Arial"/>
          <w:bCs/>
          <w:color w:val="000000"/>
          <w:sz w:val="20"/>
          <w:szCs w:val="20"/>
        </w:rPr>
        <w:t>(**) Se necessário em de</w:t>
      </w:r>
      <w:r>
        <w:rPr>
          <w:rFonts w:ascii="Arial" w:eastAsia="Spranq eco sans" w:hAnsi="Arial" w:cs="Arial"/>
          <w:bCs/>
          <w:color w:val="000000"/>
          <w:sz w:val="20"/>
          <w:szCs w:val="20"/>
        </w:rPr>
        <w:t>corrência da natureza do objeto.</w:t>
      </w:r>
    </w:p>
    <w:p w:rsidR="00000000" w:rsidRDefault="008425D2">
      <w:pPr>
        <w:pStyle w:val="Corpodetexto"/>
        <w:suppressAutoHyphens w:val="0"/>
        <w:spacing w:before="57" w:after="0" w:line="100" w:lineRule="atLeast"/>
        <w:jc w:val="both"/>
        <w:rPr>
          <w:rFonts w:ascii="Arial" w:eastAsia="Spranq eco sans" w:hAnsi="Arial" w:cs="Arial"/>
          <w:bCs/>
          <w:sz w:val="20"/>
          <w:szCs w:val="20"/>
          <w:highlight w:val="white"/>
        </w:rPr>
      </w:pPr>
    </w:p>
    <w:p w:rsidR="00000000" w:rsidRDefault="008425D2">
      <w:pPr>
        <w:pStyle w:val="Corpodetexto"/>
        <w:suppressAutoHyphens w:val="0"/>
        <w:spacing w:before="57" w:after="0" w:line="100" w:lineRule="atLeast"/>
        <w:jc w:val="both"/>
      </w:pPr>
      <w:r>
        <w:rPr>
          <w:rFonts w:ascii="Arial" w:eastAsia="Spranq eco sans" w:hAnsi="Arial" w:cs="Arial"/>
          <w:b/>
          <w:bCs/>
          <w:color w:val="FF3333"/>
          <w:sz w:val="20"/>
          <w:szCs w:val="20"/>
          <w:highlight w:val="white"/>
          <w:u w:val="single"/>
        </w:rPr>
        <w:t>Documento deverá assinado eletronicamente no SIPAC pel</w:t>
      </w:r>
      <w:r>
        <w:rPr>
          <w:rFonts w:ascii="Arial" w:eastAsia="Spranq eco sans" w:hAnsi="Arial" w:cs="Arial"/>
          <w:b/>
          <w:bCs/>
          <w:color w:val="FF3333"/>
          <w:sz w:val="20"/>
          <w:szCs w:val="20"/>
          <w:highlight w:val="white"/>
          <w:u w:val="single"/>
        </w:rPr>
        <w:t>a Equipe de Planejamento da Contratação/Aquisição</w:t>
      </w:r>
      <w:r>
        <w:rPr>
          <w:rFonts w:ascii="Arial" w:eastAsia="Spranq eco sans" w:hAnsi="Arial" w:cs="Arial"/>
          <w:b/>
          <w:bCs/>
          <w:color w:val="FF3333"/>
          <w:sz w:val="20"/>
          <w:szCs w:val="20"/>
          <w:highlight w:val="white"/>
          <w:u w:val="single"/>
        </w:rPr>
        <w:t>.</w:t>
      </w: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rPr>
          <w:rFonts w:ascii="Arial" w:eastAsia="Spranq eco sans" w:hAnsi="Arial" w:cs="Arial"/>
          <w:bCs/>
          <w:sz w:val="20"/>
          <w:szCs w:val="20"/>
        </w:rPr>
      </w:pPr>
    </w:p>
    <w:p w:rsidR="00000000" w:rsidRDefault="008425D2">
      <w:pPr>
        <w:jc w:val="both"/>
      </w:pP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5" w:right="850" w:bottom="2801" w:left="1701" w:header="850" w:footer="85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 desconhecido" w:date="2018-08-31T10:15:00Z" w:initials="">
    <w:p w:rsidR="00000000" w:rsidRDefault="008425D2">
      <w:pPr>
        <w:overflowPunct w:val="0"/>
        <w:jc w:val="both"/>
        <w:rPr>
          <w:sz w:val="20"/>
        </w:rPr>
      </w:pPr>
      <w:r>
        <w:annotationRef/>
      </w:r>
      <w:r>
        <w:rPr>
          <w:sz w:val="20"/>
        </w:rPr>
        <w:t>Deverá ser utilizado em todas os pedidos de compras/serviços, exceto os enquadrados como dispensa de licitação, observando as peculiaridades em decorrência dos objetos:</w:t>
      </w:r>
    </w:p>
    <w:p w:rsidR="00000000" w:rsidRDefault="008425D2">
      <w:pPr>
        <w:overflowPunct w:val="0"/>
        <w:jc w:val="both"/>
        <w:rPr>
          <w:rFonts w:eastAsia="Segoe UI" w:cs="Tahoma"/>
          <w:kern w:val="0"/>
          <w:lang/>
        </w:rPr>
      </w:pPr>
    </w:p>
    <w:p w:rsidR="00000000" w:rsidRDefault="008425D2">
      <w:pPr>
        <w:overflowPunct w:val="0"/>
        <w:jc w:val="both"/>
        <w:rPr>
          <w:sz w:val="20"/>
        </w:rPr>
      </w:pPr>
      <w:hyperlink r:id="rId1" w:history="1">
        <w:r>
          <w:rPr>
            <w:sz w:val="20"/>
          </w:rPr>
          <w:t>IN 04/2014</w:t>
        </w:r>
      </w:hyperlink>
      <w:r>
        <w:rPr>
          <w:sz w:val="20"/>
        </w:rPr>
        <w:t>;</w:t>
      </w:r>
    </w:p>
    <w:p w:rsidR="00000000" w:rsidRDefault="008425D2">
      <w:pPr>
        <w:overflowPunct w:val="0"/>
        <w:jc w:val="both"/>
        <w:rPr>
          <w:sz w:val="20"/>
        </w:rPr>
      </w:pPr>
      <w:hyperlink r:id="rId2" w:history="1">
        <w:r>
          <w:rPr>
            <w:sz w:val="20"/>
          </w:rPr>
          <w:t>IN 05/2017</w:t>
        </w:r>
      </w:hyperlink>
      <w:r>
        <w:rPr>
          <w:sz w:val="20"/>
        </w:rPr>
        <w:t>;</w:t>
      </w:r>
    </w:p>
    <w:p w:rsidR="00000000" w:rsidRDefault="008425D2">
      <w:pPr>
        <w:overflowPunct w:val="0"/>
        <w:jc w:val="both"/>
        <w:rPr>
          <w:sz w:val="20"/>
        </w:rPr>
      </w:pPr>
      <w:hyperlink r:id="rId3" w:history="1">
        <w:r>
          <w:rPr>
            <w:sz w:val="20"/>
          </w:rPr>
          <w:t>IN 01/2018</w:t>
        </w:r>
      </w:hyperlink>
      <w:r>
        <w:rPr>
          <w:sz w:val="20"/>
        </w:rPr>
        <w:t>.</w:t>
      </w:r>
    </w:p>
  </w:comment>
  <w:comment w:id="1" w:author="Autor desconhecido" w:date="2018-08-31T10:43:00Z" w:initials="">
    <w:p w:rsidR="00000000" w:rsidRDefault="008425D2">
      <w:pPr>
        <w:overflowPunct w:val="0"/>
        <w:jc w:val="both"/>
        <w:rPr>
          <w:sz w:val="20"/>
        </w:rPr>
      </w:pPr>
      <w:r>
        <w:annotationRef/>
      </w:r>
      <w:r>
        <w:rPr>
          <w:sz w:val="20"/>
        </w:rPr>
        <w:t xml:space="preserve">Deverão ser indicados, </w:t>
      </w:r>
      <w:r>
        <w:rPr>
          <w:sz w:val="20"/>
          <w:u w:val="single"/>
        </w:rPr>
        <w:t>no mínimo</w:t>
      </w:r>
      <w:r>
        <w:rPr>
          <w:sz w:val="20"/>
        </w:rPr>
        <w:t>, 3 integrantes requisitantes, preferencialmente envolvidos na demanda.</w:t>
      </w:r>
    </w:p>
    <w:p w:rsidR="00000000" w:rsidRDefault="008425D2">
      <w:pPr>
        <w:overflowPunct w:val="0"/>
        <w:jc w:val="both"/>
        <w:rPr>
          <w:sz w:val="20"/>
        </w:rPr>
      </w:pPr>
      <w:r>
        <w:rPr>
          <w:sz w:val="20"/>
        </w:rPr>
        <w:t>Caso, em decorrência da natureza</w:t>
      </w:r>
      <w:r>
        <w:rPr>
          <w:sz w:val="20"/>
        </w:rPr>
        <w:t xml:space="preserve"> do objeto, deve-se indicar um ou mais integrantes técnicos.</w:t>
      </w:r>
    </w:p>
    <w:p w:rsidR="00000000" w:rsidRDefault="008425D2">
      <w:pPr>
        <w:overflowPunct w:val="0"/>
        <w:jc w:val="both"/>
        <w:rPr>
          <w:sz w:val="20"/>
        </w:rPr>
      </w:pPr>
      <w:r>
        <w:rPr>
          <w:sz w:val="20"/>
        </w:rPr>
        <w:t>Os integrantes informados deverão ser similares aos indicados no Documento de Formalização da Demanda e Gerenciamento de Riscos.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425D2">
      <w:r>
        <w:separator/>
      </w:r>
    </w:p>
  </w:endnote>
  <w:endnote w:type="continuationSeparator" w:id="1">
    <w:p w:rsidR="00000000" w:rsidRDefault="0084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cofont_Spranq_eco_Sans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855"/>
      <w:gridCol w:w="5500"/>
    </w:tblGrid>
    <w:tr w:rsidR="00000000">
      <w:tc>
        <w:tcPr>
          <w:tcW w:w="3855" w:type="dxa"/>
          <w:shd w:val="clear" w:color="auto" w:fill="auto"/>
        </w:tcPr>
        <w:p w:rsidR="00000000" w:rsidRDefault="008425D2">
          <w:pPr>
            <w:pStyle w:val="Contedodatabela"/>
            <w:snapToGrid w:val="0"/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26670</wp:posOffset>
                </wp:positionV>
                <wp:extent cx="1673860" cy="521970"/>
                <wp:effectExtent l="19050" t="0" r="254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3" t="-72" r="-23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shd w:val="clear" w:color="auto" w:fill="auto"/>
        </w:tcPr>
        <w:p w:rsidR="00000000" w:rsidRDefault="008425D2">
          <w:pPr>
            <w:numPr>
              <w:ilvl w:val="0"/>
              <w:numId w:val="2"/>
            </w:numPr>
            <w:jc w:val="both"/>
          </w:pPr>
          <w:r>
            <w:rPr>
              <w:rFonts w:ascii="Arial" w:hAnsi="Arial" w:cs="Arial"/>
              <w:sz w:val="16"/>
              <w:szCs w:val="16"/>
            </w:rPr>
            <w:t xml:space="preserve">Comissão responsável pelos mapeamentos dos fluxos e padronizações dos processos de aquisições do Instituto Federal de Educação, Ciência e Tecnologia Catarinense. </w:t>
          </w:r>
        </w:p>
        <w:p w:rsidR="00000000" w:rsidRDefault="008425D2">
          <w:pPr>
            <w:numPr>
              <w:ilvl w:val="0"/>
              <w:numId w:val="2"/>
            </w:numPr>
            <w:jc w:val="both"/>
          </w:pPr>
          <w:r>
            <w:rPr>
              <w:rFonts w:ascii="Arial" w:hAnsi="Arial" w:cs="Arial"/>
              <w:sz w:val="16"/>
              <w:szCs w:val="16"/>
            </w:rPr>
            <w:t>Portaria IFC/Reitoria nº 117/2018, de 31 de Janeiro de 2018.</w:t>
          </w:r>
        </w:p>
        <w:p w:rsidR="00000000" w:rsidRDefault="008425D2">
          <w:pPr>
            <w:numPr>
              <w:ilvl w:val="0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both"/>
          </w:pPr>
          <w:r>
            <w:rPr>
              <w:rFonts w:ascii="Arial" w:eastAsia="Spranq eco sans" w:hAnsi="Arial" w:cs="Arial"/>
              <w:b/>
              <w:bCs/>
              <w:sz w:val="16"/>
              <w:szCs w:val="16"/>
              <w:u w:val="single"/>
              <w:lang/>
            </w:rPr>
            <w:t>Atualização: Agosto/2</w:t>
          </w:r>
          <w:r>
            <w:rPr>
              <w:rFonts w:ascii="Arial" w:eastAsia="Spranq eco sans" w:hAnsi="Arial" w:cs="Arial"/>
              <w:b/>
              <w:bCs/>
              <w:sz w:val="16"/>
              <w:szCs w:val="16"/>
              <w:u w:val="single"/>
              <w:lang/>
            </w:rPr>
            <w:t>018</w:t>
          </w:r>
        </w:p>
      </w:tc>
    </w:tr>
  </w:tbl>
  <w:p w:rsidR="00000000" w:rsidRDefault="008425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425D2">
      <w:r>
        <w:separator/>
      </w:r>
    </w:p>
  </w:footnote>
  <w:footnote w:type="continuationSeparator" w:id="1">
    <w:p w:rsidR="00000000" w:rsidRDefault="0084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25D2">
    <w:pPr>
      <w:pStyle w:val="Cabealho"/>
      <w:jc w:val="center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2689225</wp:posOffset>
          </wp:positionH>
          <wp:positionV relativeFrom="paragraph">
            <wp:posOffset>-111760</wp:posOffset>
          </wp:positionV>
          <wp:extent cx="630555" cy="65913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378" t="-1347" r="-1378" b="-1347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8425D2">
    <w:pPr>
      <w:pStyle w:val="Corpodetexto"/>
      <w:spacing w:after="0" w:line="100" w:lineRule="atLeast"/>
      <w:jc w:val="center"/>
      <w:rPr>
        <w:rFonts w:ascii="Spranq eco sans" w:hAnsi="Spranq eco sans" w:cs="Spranq eco sans"/>
        <w:sz w:val="22"/>
        <w:szCs w:val="22"/>
      </w:rPr>
    </w:pPr>
  </w:p>
  <w:p w:rsidR="00000000" w:rsidRDefault="008425D2">
    <w:pPr>
      <w:pStyle w:val="Corpodetexto"/>
      <w:spacing w:after="0" w:line="100" w:lineRule="atLeast"/>
      <w:jc w:val="center"/>
      <w:rPr>
        <w:rFonts w:ascii="Spranq eco sans" w:hAnsi="Spranq eco sans" w:cs="Spranq eco sans"/>
        <w:sz w:val="22"/>
        <w:szCs w:val="22"/>
      </w:rPr>
    </w:pPr>
  </w:p>
  <w:p w:rsidR="00000000" w:rsidRDefault="008425D2">
    <w:pPr>
      <w:pStyle w:val="Corpodetexto"/>
      <w:spacing w:after="0" w:line="100" w:lineRule="atLeast"/>
      <w:jc w:val="center"/>
      <w:rPr>
        <w:rFonts w:ascii="Spranq eco sans" w:hAnsi="Spranq eco sans" w:cs="Spranq eco sans"/>
        <w:sz w:val="22"/>
        <w:szCs w:val="22"/>
      </w:rPr>
    </w:pPr>
  </w:p>
  <w:p w:rsidR="00000000" w:rsidRDefault="008425D2">
    <w:pPr>
      <w:pStyle w:val="Corpodetexto"/>
      <w:spacing w:after="0" w:line="100" w:lineRule="atLeast"/>
      <w:jc w:val="center"/>
    </w:pPr>
    <w:r>
      <w:rPr>
        <w:rFonts w:ascii="Arial" w:hAnsi="Arial" w:cs="Arial"/>
        <w:sz w:val="22"/>
        <w:szCs w:val="22"/>
      </w:rPr>
      <w:t>Ministério da Educação</w:t>
    </w:r>
  </w:p>
  <w:p w:rsidR="00000000" w:rsidRDefault="008425D2">
    <w:pPr>
      <w:pStyle w:val="Corpodetexto"/>
      <w:spacing w:after="0" w:line="100" w:lineRule="atLeast"/>
      <w:jc w:val="center"/>
    </w:pPr>
    <w:r>
      <w:rPr>
        <w:rFonts w:ascii="Arial" w:hAnsi="Arial" w:cs="Arial"/>
        <w:sz w:val="22"/>
        <w:szCs w:val="22"/>
      </w:rPr>
      <w:t>Secretaria de Educação Profissional e Tecnológica</w:t>
    </w:r>
  </w:p>
  <w:p w:rsidR="00000000" w:rsidRDefault="008425D2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>
      <w:rPr>
        <w:rFonts w:ascii="Arial" w:hAnsi="Arial" w:cs="Arial"/>
        <w:sz w:val="22"/>
        <w:szCs w:val="22"/>
      </w:rPr>
      <w:t>Instituto Federal Cata</w:t>
    </w:r>
    <w:r>
      <w:rPr>
        <w:rFonts w:ascii="Arial" w:hAnsi="Arial" w:cs="Arial"/>
        <w:sz w:val="22"/>
        <w:szCs w:val="22"/>
      </w:rPr>
      <w:t>rinense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25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pranq eco sans" w:eastAsia="Times New Roman" w:hAnsi="Spranq eco sans" w:cs="Spranq eco sans"/>
        <w:b w:val="0"/>
        <w:bCs w:val="0"/>
        <w:sz w:val="20"/>
        <w:szCs w:val="20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Spranq eco sans" w:hAnsi="Arial" w:cs="Arial"/>
        <w:b/>
        <w:bCs/>
        <w:i w:val="0"/>
        <w:iCs w:val="0"/>
        <w:caps w:val="0"/>
        <w:smallCaps w:val="0"/>
        <w:spacing w:val="0"/>
        <w:kern w:val="1"/>
        <w:sz w:val="20"/>
        <w:szCs w:val="20"/>
        <w:highlight w:val="yellow"/>
        <w:lang w:val="pt-BR"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25D2"/>
    <w:rsid w:val="0084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spacing w:before="0" w:after="0"/>
      <w:outlineLvl w:val="0"/>
    </w:pPr>
    <w:rPr>
      <w:b/>
      <w:bCs/>
      <w:sz w:val="2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pranq eco sans" w:eastAsia="Times New Roman" w:hAnsi="Spranq eco sans" w:cs="Spranq eco sans"/>
      <w:b w:val="0"/>
      <w:bCs w:val="0"/>
      <w:sz w:val="20"/>
      <w:szCs w:val="20"/>
      <w:lang w:eastAsia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Spranq eco sans" w:hAnsi="Arial" w:cs="Arial"/>
      <w:b/>
      <w:bCs/>
      <w:i w:val="0"/>
      <w:iCs w:val="0"/>
      <w:caps w:val="0"/>
      <w:smallCaps w:val="0"/>
      <w:spacing w:val="0"/>
      <w:kern w:val="1"/>
      <w:sz w:val="20"/>
      <w:szCs w:val="20"/>
      <w:highlight w:val="yellow"/>
      <w:lang w:val="pt-BR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SimSun" w:hAnsi="Arial" w:cs="Arial"/>
      <w:b/>
      <w:bCs/>
      <w:i w:val="0"/>
      <w:kern w:val="1"/>
      <w:sz w:val="20"/>
      <w:szCs w:val="20"/>
      <w:lang w:val="pt-BR" w:eastAsia="zh-CN" w:bidi="hi-IN"/>
    </w:rPr>
  </w:style>
  <w:style w:type="character" w:customStyle="1" w:styleId="WW8Num3z1">
    <w:name w:val="WW8Num3z1"/>
    <w:rPr>
      <w:rFonts w:ascii="Arial" w:hAnsi="Arial" w:cs="Arial"/>
      <w:b/>
      <w:i w:val="0"/>
      <w:iCs w:val="0"/>
      <w:color w:val="00000A"/>
      <w:sz w:val="20"/>
      <w:szCs w:val="20"/>
      <w:lang w:eastAsia="en-US"/>
    </w:rPr>
  </w:style>
  <w:style w:type="character" w:customStyle="1" w:styleId="WW8Num3z2">
    <w:name w:val="WW8Num3z2"/>
    <w:rPr>
      <w:rFonts w:ascii="Arial" w:hAnsi="Arial" w:cs="Arial"/>
      <w:b w:val="0"/>
      <w:i w:val="0"/>
      <w:sz w:val="20"/>
      <w:szCs w:val="20"/>
    </w:rPr>
  </w:style>
  <w:style w:type="character" w:customStyle="1" w:styleId="WW8Num3z3">
    <w:name w:val="WW8Num3z3"/>
    <w:rPr>
      <w:rFonts w:ascii="Arial" w:hAnsi="Arial" w:cs="Arial"/>
      <w:i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bCs/>
      <w:i w:val="0"/>
      <w:iCs w:val="0"/>
      <w:sz w:val="20"/>
      <w:szCs w:val="20"/>
      <w:lang w:eastAsia="en-US"/>
    </w:rPr>
  </w:style>
  <w:style w:type="character" w:customStyle="1" w:styleId="WW8Num4z1">
    <w:name w:val="WW8Num4z1"/>
    <w:rPr>
      <w:rFonts w:ascii="Arial" w:hAnsi="Arial" w:cs="Arial"/>
      <w:b/>
      <w:bCs/>
      <w:i w:val="0"/>
      <w:iCs w:val="0"/>
      <w:color w:val="00000A"/>
      <w:sz w:val="20"/>
      <w:szCs w:val="20"/>
      <w:highlight w:val="white"/>
      <w:lang w:eastAsia="en-US"/>
    </w:rPr>
  </w:style>
  <w:style w:type="character" w:customStyle="1" w:styleId="WW8Num4z2">
    <w:name w:val="WW8Num4z2"/>
    <w:rPr>
      <w:rFonts w:ascii="Arial" w:hAnsi="Arial" w:cs="Arial"/>
      <w:b w:val="0"/>
      <w:bCs/>
      <w:i/>
      <w:iCs/>
      <w:strike w:val="0"/>
      <w:dstrike w:val="0"/>
      <w:sz w:val="20"/>
      <w:szCs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color w:val="222222"/>
      <w:spacing w:val="0"/>
      <w:kern w:val="1"/>
      <w:sz w:val="20"/>
      <w:szCs w:val="20"/>
      <w:lang w:eastAsia="zh-CN"/>
    </w:rPr>
  </w:style>
  <w:style w:type="character" w:customStyle="1" w:styleId="WW8Num6z0">
    <w:name w:val="WW8Num6z0"/>
    <w:rPr>
      <w:rFonts w:ascii="Symbol" w:eastAsia="Times New Roman" w:hAnsi="Symbol" w:cs="OpenSymbol"/>
      <w:caps w:val="0"/>
      <w:smallCaps w:val="0"/>
      <w:color w:val="222222"/>
      <w:spacing w:val="0"/>
      <w:kern w:val="1"/>
      <w:sz w:val="20"/>
      <w:szCs w:val="20"/>
      <w:lang w:val="pt-BR" w:eastAsia="zh-CN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0"/>
      <w:szCs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  <w:lang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ascii="Arial" w:hAnsi="Arial" w:cs="Arial"/>
      <w:b/>
      <w:sz w:val="20"/>
    </w:rPr>
  </w:style>
  <w:style w:type="character" w:customStyle="1" w:styleId="ListLabel2">
    <w:name w:val="ListLabel 2"/>
    <w:rPr>
      <w:rFonts w:ascii="Arial" w:hAnsi="Arial" w:cs="Arial"/>
      <w:b/>
      <w:i w:val="0"/>
      <w:color w:val="00000A"/>
      <w:sz w:val="20"/>
    </w:rPr>
  </w:style>
  <w:style w:type="character" w:customStyle="1" w:styleId="ListLabel3">
    <w:name w:val="ListLabel 3"/>
    <w:rPr>
      <w:rFonts w:ascii="Arial" w:hAnsi="Arial" w:cs="Arial"/>
      <w:b w:val="0"/>
      <w:strike w:val="0"/>
      <w:dstrike w:val="0"/>
      <w:sz w:val="20"/>
    </w:rPr>
  </w:style>
  <w:style w:type="character" w:customStyle="1" w:styleId="ListLabel37">
    <w:name w:val="ListLabel 37"/>
    <w:rPr>
      <w:b/>
      <w:i w:val="0"/>
    </w:rPr>
  </w:style>
  <w:style w:type="character" w:customStyle="1" w:styleId="ListLabel38">
    <w:name w:val="ListLabel 38"/>
    <w:rPr>
      <w:rFonts w:ascii="Arial" w:hAnsi="Arial" w:cs="Arial"/>
      <w:b/>
      <w:i w:val="0"/>
      <w:color w:val="00000A"/>
      <w:sz w:val="20"/>
    </w:rPr>
  </w:style>
  <w:style w:type="character" w:customStyle="1" w:styleId="ListLabel39">
    <w:name w:val="ListLabel 39"/>
    <w:rPr>
      <w:rFonts w:ascii="Arial" w:hAnsi="Arial" w:cs="Arial"/>
      <w:b w:val="0"/>
      <w:i w:val="0"/>
      <w:sz w:val="20"/>
    </w:rPr>
  </w:style>
  <w:style w:type="character" w:customStyle="1" w:styleId="ListLabel40">
    <w:name w:val="ListLabel 40"/>
    <w:rPr>
      <w:b/>
      <w:i w:val="0"/>
    </w:rPr>
  </w:style>
  <w:style w:type="character" w:customStyle="1" w:styleId="ListLabel41">
    <w:name w:val="ListLabel 41"/>
    <w:rPr>
      <w:b/>
      <w:i w:val="0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">
    <w:name w:val="texto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40" w:lineRule="atLeast"/>
      <w:ind w:left="170" w:hanging="170"/>
      <w:jc w:val="both"/>
      <w:textAlignment w:val="baseline"/>
    </w:pPr>
    <w:rPr>
      <w:kern w:val="1"/>
      <w:lang w:eastAsia="zh-CN" w:bidi="hi-IN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Nivel01">
    <w:name w:val="Nivel_01"/>
    <w:basedOn w:val="Ttulo1"/>
    <w:pPr>
      <w:numPr>
        <w:numId w:val="0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styleId="SemEspaamento">
    <w:name w:val="No Spacing"/>
    <w:qFormat/>
    <w:pPr>
      <w:suppressAutoHyphens/>
      <w:jc w:val="center"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Nivel1">
    <w:name w:val="Nivel1"/>
    <w:basedOn w:val="Ttulo1"/>
    <w:next w:val="Normal"/>
    <w:pPr>
      <w:numPr>
        <w:numId w:val="0"/>
      </w:numPr>
      <w:spacing w:before="480" w:after="120" w:line="276" w:lineRule="auto"/>
      <w:ind w:left="357" w:hanging="357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010">
    <w:name w:val="Nivel 01"/>
    <w:basedOn w:val="Ttulo1"/>
    <w:next w:val="Normal"/>
    <w:pPr>
      <w:numPr>
        <w:numId w:val="0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5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5D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mprasgovernamentais.gov.br/index.php/legislacao/instrucoes-normativas/861-pgc-in" TargetMode="External"/><Relationship Id="rId2" Type="http://schemas.openxmlformats.org/officeDocument/2006/relationships/hyperlink" Target="https://www.comprasgovernamentais.gov.br/images/conteudo/ArquivosCGNOR/IN-n-05-de-26-de-maio-de-2017---Hiperlink.pdf" TargetMode="External"/><Relationship Id="rId1" Type="http://schemas.openxmlformats.org/officeDocument/2006/relationships/hyperlink" Target="https://www.governodigital.gov.br/transformacao/sisp/ncti-nucleo-de-contratacoes-de-tecnologia-da-informacao/in-4-instrucao-normativa-mp-slti-no-4-201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zanlucas</dc:creator>
  <cp:lastModifiedBy>zanlucas</cp:lastModifiedBy>
  <cp:revision>2</cp:revision>
  <cp:lastPrinted>1601-01-01T00:00:00Z</cp:lastPrinted>
  <dcterms:created xsi:type="dcterms:W3CDTF">2018-10-01T12:35:00Z</dcterms:created>
  <dcterms:modified xsi:type="dcterms:W3CDTF">2018-10-01T12:35:00Z</dcterms:modified>
</cp:coreProperties>
</file>