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Fira Sans" w:eastAsia="Times New Roman" w:hAnsi="Fira Sans" w:cs="Times New Roman"/>
          <w:b/>
          <w:bCs/>
          <w:caps/>
          <w:color w:val="22536B"/>
          <w:sz w:val="29"/>
          <w:szCs w:val="29"/>
          <w:lang w:eastAsia="pt-BR"/>
        </w:rPr>
      </w:pPr>
      <w:r w:rsidRPr="00CC70E5">
        <w:rPr>
          <w:rFonts w:ascii="Fira Sans" w:eastAsia="Times New Roman" w:hAnsi="Fira Sans" w:cs="Times New Roman"/>
          <w:b/>
          <w:bCs/>
          <w:caps/>
          <w:color w:val="22536B"/>
          <w:sz w:val="29"/>
          <w:szCs w:val="29"/>
          <w:lang w:eastAsia="pt-BR"/>
        </w:rPr>
        <w:t>CADASTRO DE FORNECEDORES – SICAF</w:t>
      </w:r>
    </w:p>
    <w:p w:rsidR="00CC70E5" w:rsidRPr="00CC70E5" w:rsidRDefault="00CC70E5" w:rsidP="00CC7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pt-BR"/>
        </w:rPr>
        <w:t>O que é SICAF?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É o Sistema de Cadastro de Fornecedores do Governo Federal. Esse cadastro habilita os fornecedores que têm interesse em participar de licitações na Administração Pública, 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u w:val="single"/>
          <w:lang w:eastAsia="pt-BR"/>
        </w:rPr>
        <w:t>e </w:t>
      </w:r>
      <w:r w:rsidRPr="00CC70E5">
        <w:rPr>
          <w:rFonts w:ascii="Fira Sans" w:eastAsia="Times New Roman" w:hAnsi="Fira Sans" w:cs="Times New Roman"/>
          <w:sz w:val="24"/>
          <w:szCs w:val="24"/>
          <w:u w:val="single"/>
          <w:lang w:eastAsia="pt-BR"/>
        </w:rPr>
        <w:t>é gratuito</w:t>
      </w:r>
      <w:r w:rsidRPr="00CC70E5">
        <w:rPr>
          <w:rFonts w:ascii="Fira Sans" w:eastAsia="Times New Roman" w:hAnsi="Fira Sans" w:cs="Times New Roman"/>
          <w:sz w:val="24"/>
          <w:szCs w:val="24"/>
          <w:lang w:eastAsia="pt-BR"/>
        </w:rPr>
        <w:t>.</w:t>
      </w:r>
    </w:p>
    <w:p w:rsidR="00CC70E5" w:rsidRPr="00CC70E5" w:rsidRDefault="00CC70E5" w:rsidP="00CC70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t-BR"/>
        </w:rPr>
      </w:pPr>
      <w:hyperlink r:id="rId5" w:anchor="novo" w:history="1">
        <w:r w:rsidRPr="00E5682D">
          <w:rPr>
            <w:rFonts w:ascii="Fira Sans" w:eastAsia="Times New Roman" w:hAnsi="Fira Sans" w:cs="Times New Roman"/>
            <w:sz w:val="24"/>
            <w:szCs w:val="24"/>
            <w:lang w:eastAsia="pt-BR"/>
          </w:rPr>
          <w:t>Realizar o cadastro</w:t>
        </w:r>
      </w:hyperlink>
      <w:r w:rsidRPr="00CC70E5">
        <w:rPr>
          <w:rFonts w:ascii="Fira Sans" w:eastAsia="Times New Roman" w:hAnsi="Fira Sans" w:cs="Times New Roman"/>
          <w:sz w:val="24"/>
          <w:szCs w:val="24"/>
          <w:lang w:eastAsia="pt-BR"/>
        </w:rPr>
        <w:t> (novo cadastro)</w:t>
      </w:r>
    </w:p>
    <w:p w:rsidR="00CC70E5" w:rsidRPr="00CC70E5" w:rsidRDefault="00CC70E5" w:rsidP="00CC70E5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709" w:hanging="283"/>
        <w:rPr>
          <w:rFonts w:ascii="Fira Sans" w:eastAsia="Times New Roman" w:hAnsi="Fira Sans" w:cs="Times New Roman"/>
          <w:sz w:val="24"/>
          <w:szCs w:val="24"/>
          <w:lang w:eastAsia="pt-BR"/>
        </w:rPr>
      </w:pPr>
      <w:hyperlink r:id="rId6" w:anchor="doc" w:history="1">
        <w:r w:rsidRPr="00E5682D">
          <w:rPr>
            <w:rFonts w:ascii="Fira Sans" w:eastAsia="Times New Roman" w:hAnsi="Fira Sans" w:cs="Times New Roman"/>
            <w:sz w:val="24"/>
            <w:szCs w:val="24"/>
            <w:lang w:eastAsia="pt-BR"/>
          </w:rPr>
          <w:t xml:space="preserve">Documentação a ser entregue na unidade </w:t>
        </w:r>
        <w:proofErr w:type="spellStart"/>
        <w:r w:rsidRPr="00E5682D">
          <w:rPr>
            <w:rFonts w:ascii="Fira Sans" w:eastAsia="Times New Roman" w:hAnsi="Fira Sans" w:cs="Times New Roman"/>
            <w:sz w:val="24"/>
            <w:szCs w:val="24"/>
            <w:lang w:eastAsia="pt-BR"/>
          </w:rPr>
          <w:t>cadastradora</w:t>
        </w:r>
        <w:proofErr w:type="spellEnd"/>
        <w:r w:rsidRPr="00E5682D">
          <w:rPr>
            <w:rFonts w:ascii="Fira Sans" w:eastAsia="Times New Roman" w:hAnsi="Fira Sans" w:cs="Times New Roman"/>
            <w:sz w:val="24"/>
            <w:szCs w:val="24"/>
            <w:lang w:eastAsia="pt-BR"/>
          </w:rPr>
          <w:t xml:space="preserve"> (2ª fase)</w:t>
        </w:r>
      </w:hyperlink>
    </w:p>
    <w:p w:rsidR="00CC70E5" w:rsidRPr="00CC70E5" w:rsidRDefault="00CC70E5" w:rsidP="00CC70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t-BR"/>
        </w:rPr>
      </w:pPr>
      <w:hyperlink r:id="rId7" w:anchor="consulta" w:history="1">
        <w:r w:rsidRPr="00E5682D">
          <w:rPr>
            <w:rFonts w:ascii="Fira Sans" w:eastAsia="Times New Roman" w:hAnsi="Fira Sans" w:cs="Times New Roman"/>
            <w:sz w:val="24"/>
            <w:szCs w:val="24"/>
            <w:lang w:eastAsia="pt-BR"/>
          </w:rPr>
          <w:t>Consultar a situação do fornecedor</w:t>
        </w:r>
      </w:hyperlink>
    </w:p>
    <w:p w:rsidR="00CC70E5" w:rsidRPr="00CC70E5" w:rsidRDefault="00CC70E5" w:rsidP="00CC70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t-BR"/>
        </w:rPr>
      </w:pPr>
      <w:hyperlink r:id="rId8" w:anchor="renova" w:history="1">
        <w:r w:rsidRPr="00E5682D">
          <w:rPr>
            <w:rFonts w:ascii="Fira Sans" w:eastAsia="Times New Roman" w:hAnsi="Fira Sans" w:cs="Times New Roman"/>
            <w:sz w:val="24"/>
            <w:szCs w:val="24"/>
            <w:lang w:eastAsia="pt-BR"/>
          </w:rPr>
          <w:t>Renovação de Cadastro</w:t>
        </w:r>
      </w:hyperlink>
    </w:p>
    <w:p w:rsidR="00CC70E5" w:rsidRPr="00CC70E5" w:rsidRDefault="00CC70E5" w:rsidP="00CC70E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4"/>
          <w:szCs w:val="24"/>
          <w:lang w:eastAsia="pt-BR"/>
        </w:rPr>
      </w:pPr>
      <w:hyperlink r:id="rId9" w:anchor="senha" w:history="1">
        <w:r w:rsidRPr="00E5682D">
          <w:rPr>
            <w:rFonts w:ascii="Fira Sans" w:eastAsia="Times New Roman" w:hAnsi="Fira Sans" w:cs="Times New Roman"/>
            <w:sz w:val="24"/>
            <w:szCs w:val="24"/>
            <w:lang w:eastAsia="pt-BR"/>
          </w:rPr>
          <w:t>Recuperação de senha</w:t>
        </w:r>
      </w:hyperlink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Caso ainda reste alguma dúvida, entre em contato conosco: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Fone: (4</w:t>
      </w:r>
      <w:r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7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) </w:t>
      </w:r>
      <w:r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2104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-</w:t>
      </w:r>
      <w:r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0800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ou e-mail </w:t>
      </w:r>
      <w:hyperlink r:id="rId10" w:history="1">
        <w:r w:rsidRPr="00C84C54">
          <w:rPr>
            <w:rStyle w:val="Hyperlink"/>
            <w:rFonts w:ascii="Fira Sans" w:eastAsia="Times New Roman" w:hAnsi="Fira Sans" w:cs="Times New Roman"/>
            <w:sz w:val="24"/>
            <w:szCs w:val="24"/>
            <w:lang w:eastAsia="pt-BR"/>
          </w:rPr>
          <w:t>sicaf.camboriu@ifc.edu.br</w:t>
        </w:r>
      </w:hyperlink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Horário de Atendimento: de segunda a </w:t>
      </w:r>
      <w:r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sexta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-feira, das </w:t>
      </w:r>
      <w:r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08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às </w:t>
      </w:r>
      <w:proofErr w:type="gramStart"/>
      <w:r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11:30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horas</w:t>
      </w:r>
      <w:r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e das 14:00 às 17:00horas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.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Prazos para atualização do cadastro (após entrega da documentação):</w:t>
      </w:r>
    </w:p>
    <w:p w:rsidR="00CC70E5" w:rsidRPr="00CC70E5" w:rsidRDefault="00CC70E5" w:rsidP="00CC70E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48 horas para validação das certidões;</w:t>
      </w:r>
    </w:p>
    <w:p w:rsidR="00CC70E5" w:rsidRPr="00CC70E5" w:rsidRDefault="00CC70E5" w:rsidP="00CC70E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5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dias úteis para cadastros novos.</w:t>
      </w:r>
    </w:p>
    <w:p w:rsid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pt-BR"/>
        </w:rPr>
      </w:pP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pt-BR"/>
        </w:rPr>
        <w:t>Novo cadastro no SICAF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Para realizar seu cadastro no SICAF, pela primeira vez, siga os seguintes passos: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1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Acesse o </w:t>
      </w:r>
      <w:hyperlink r:id="rId11" w:history="1">
        <w:r w:rsidR="0034497F" w:rsidRPr="00C84C54">
          <w:rPr>
            <w:rStyle w:val="Hyperlink"/>
            <w:rFonts w:ascii="Fira Sans" w:eastAsia="Times New Roman" w:hAnsi="Fira Sans" w:cs="Times New Roman"/>
            <w:sz w:val="24"/>
            <w:szCs w:val="24"/>
            <w:lang w:eastAsia="pt-BR"/>
          </w:rPr>
          <w:t>WWW.COMPRASGOVERNAMENTAIS.GOV.BR</w:t>
        </w:r>
      </w:hyperlink>
      <w:r w:rsidR="0034497F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e escolha a opção SICAF, abaixo no meio da tela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:</w:t>
      </w:r>
    </w:p>
    <w:p w:rsidR="00CC70E5" w:rsidRPr="00CC70E5" w:rsidRDefault="00E5682D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0A0A0A"/>
          <w:sz w:val="24"/>
          <w:szCs w:val="24"/>
          <w:lang w:eastAsia="pt-BR"/>
        </w:rPr>
        <w:lastRenderedPageBreak/>
        <w:drawing>
          <wp:inline distT="0" distB="0" distL="0" distR="0">
            <wp:extent cx="3124200" cy="2329351"/>
            <wp:effectExtent l="1905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2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 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2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Escolha a opção “</w:t>
      </w:r>
      <w:r w:rsidR="0034497F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SICAF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”</w:t>
      </w:r>
    </w:p>
    <w:p w:rsidR="00CC70E5" w:rsidRDefault="00E5682D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0A0A0A"/>
          <w:sz w:val="24"/>
          <w:szCs w:val="24"/>
          <w:lang w:eastAsia="pt-BR"/>
        </w:rPr>
        <w:drawing>
          <wp:inline distT="0" distB="0" distL="0" distR="0">
            <wp:extent cx="2790825" cy="2712072"/>
            <wp:effectExtent l="19050" t="0" r="9525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1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82D" w:rsidRPr="00CC70E5" w:rsidRDefault="00E5682D" w:rsidP="00E5682D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3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Escolha a opção “Produção”</w:t>
      </w:r>
    </w:p>
    <w:p w:rsidR="00E5682D" w:rsidRPr="00CC70E5" w:rsidRDefault="00E5682D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0A0A0A"/>
          <w:sz w:val="24"/>
          <w:szCs w:val="24"/>
          <w:lang w:eastAsia="pt-BR"/>
        </w:rPr>
        <w:drawing>
          <wp:inline distT="0" distB="0" distL="0" distR="0">
            <wp:extent cx="3546809" cy="1905000"/>
            <wp:effectExtent l="1905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809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E5682D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4</w:t>
      </w:r>
      <w:proofErr w:type="gramEnd"/>
      <w:r w:rsidR="00CC70E5"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Leia as instruções e clique no link disponível ao final da alínea “c”, para gerar a sua senha de acesso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lastRenderedPageBreak/>
        <w:drawing>
          <wp:inline distT="0" distB="0" distL="0" distR="0">
            <wp:extent cx="2857500" cy="1943100"/>
            <wp:effectExtent l="19050" t="0" r="0" b="0"/>
            <wp:docPr id="3" name="Imagem 3" descr="http://www.pra.ufpr.br/portal/dsg/files/2014/11/passo1-3_novo-300x20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a.ufpr.br/portal/dsg/files/2014/11/passo1-3_novo-300x20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5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Digite o número do CPF e clique em “pesquisar”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2066925"/>
            <wp:effectExtent l="19050" t="0" r="0" b="0"/>
            <wp:docPr id="4" name="Imagem 4" descr="http://www.pra.ufpr.br/portal/dsg/files/2013/06/passo1-5-300x21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a.ufpr.br/portal/dsg/files/2013/06/passo1-5-300x21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6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Preencha os campos “e-mail” e “data de nascimento”, referentes ao CPF informado, digite o código de segurança e clique em “solicitar senha”</w:t>
      </w:r>
    </w:p>
    <w:p w:rsidR="00C22AE4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2105025"/>
            <wp:effectExtent l="19050" t="0" r="0" b="0"/>
            <wp:docPr id="5" name="Imagem 5" descr="http://www.pra.ufpr.br/portal/dsg/files/2013/06/passo1-6-300x221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a.ufpr.br/portal/dsg/files/2013/06/passo1-6-300x221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</w:p>
    <w:p w:rsidR="00C22AE4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7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A senha será enviada para o e-mail informado no passo anterior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8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) De posse da senha, volte à página do SICAF e preencha os campos “CPF” e a “senha” recebida por e-mail. Clique em avançar</w:t>
      </w:r>
    </w:p>
    <w:p w:rsidR="00C22AE4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lastRenderedPageBreak/>
        <w:drawing>
          <wp:inline distT="0" distB="0" distL="0" distR="0">
            <wp:extent cx="2857500" cy="1647825"/>
            <wp:effectExtent l="19050" t="0" r="0" b="0"/>
            <wp:docPr id="6" name="Imagem 6" descr="http://www.pra.ufpr.br/portal/dsg/files/2013/06/passo1-8-300x17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ra.ufpr.br/portal/dsg/files/2013/06/passo1-8-300x17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9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Por questões de segurança, será necessário trocar a senha. Cadastre uma nova senha que seja fácil de lembrar nos próximos acessos!</w:t>
      </w:r>
    </w:p>
    <w:p w:rsidR="00C22AE4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2838450"/>
            <wp:effectExtent l="19050" t="0" r="0" b="0"/>
            <wp:docPr id="7" name="Imagem 7" descr="http://www.pra.ufpr.br/portal/dsg/files/2013/06/passo1-9-300x298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a.ufpr.br/portal/dsg/files/2013/06/passo1-9-300x298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10)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Depois de acessar o sistema, no menu, vá até “Cadastro” e escolha a opção “Nível I – Credenciamento”</w:t>
      </w:r>
    </w:p>
    <w:p w:rsidR="00C22AE4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2447925"/>
            <wp:effectExtent l="19050" t="0" r="0" b="0"/>
            <wp:docPr id="8" name="Imagem 8" descr="http://www.pra.ufpr.br/portal/dsg/files/2013/06/passo1-10-300x257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ra.ufpr.br/portal/dsg/files/2013/06/passo1-10-300x257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</w:p>
    <w:p w:rsidR="00C22AE4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lastRenderedPageBreak/>
        <w:t>11)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Preencha sucessivamente todos os níveis de credenciamento, do I ao VI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12)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Feito o cadastro, será necessário apresentar os documentos</w:t>
      </w:r>
      <w:r w:rsidR="00527E81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(cópia autenticada ou cópias simples acompanhadas dos originais)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que comprovem o Cadastro à unidade cadastradora (no caso, </w:t>
      </w:r>
      <w:r w:rsidR="006246DC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o IFC Campus </w:t>
      </w:r>
      <w:proofErr w:type="spellStart"/>
      <w:r w:rsidR="006246DC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Camboriú</w:t>
      </w:r>
      <w:proofErr w:type="spell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):</w:t>
      </w:r>
    </w:p>
    <w:p w:rsidR="006246DC" w:rsidRP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  <w:r w:rsidRPr="006246DC">
        <w:rPr>
          <w:u w:val="single"/>
        </w:rPr>
        <w:t xml:space="preserve">Nível I – Credenciamento: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Cédula de Identidade e CPF do(s) </w:t>
      </w:r>
      <w:proofErr w:type="gramStart"/>
      <w:r>
        <w:t>dirigente(</w:t>
      </w:r>
      <w:proofErr w:type="spellStart"/>
      <w:proofErr w:type="gramEnd"/>
      <w:r>
        <w:t>es</w:t>
      </w:r>
      <w:proofErr w:type="spellEnd"/>
      <w:r>
        <w:t xml:space="preserve">), sócio(s) e representante(s) legal(is);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>• Cédula de Identidade e CPF dos cônjuges/</w:t>
      </w:r>
      <w:proofErr w:type="gramStart"/>
      <w:r>
        <w:t>companheiros(</w:t>
      </w:r>
      <w:proofErr w:type="gramEnd"/>
      <w:r>
        <w:t>as) do(s) dirigente(</w:t>
      </w:r>
      <w:proofErr w:type="spellStart"/>
      <w:r>
        <w:t>es</w:t>
      </w:r>
      <w:proofErr w:type="spellEnd"/>
      <w:r>
        <w:t xml:space="preserve">), sócio(s) e representante(s) legal(is), quando for o caso;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Contrato Social e suas alterações e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Inscrição CNPJ.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Certidões de Casamento, de União Estável, de Separação Judicial, de Óbito </w:t>
      </w:r>
      <w:proofErr w:type="spellStart"/>
      <w:r>
        <w:t>etc</w:t>
      </w:r>
      <w:proofErr w:type="spellEnd"/>
      <w:r>
        <w:t xml:space="preserve"> ou Declaração, sob as penas da lei, manifestando o seu estado civil.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</w:p>
    <w:p w:rsidR="006246DC" w:rsidRP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  <w:r w:rsidRPr="006246DC">
        <w:rPr>
          <w:u w:val="single"/>
        </w:rPr>
        <w:t xml:space="preserve">Nível II – Habilitação Jurídica: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Os mesmos documentos listados no Nível I.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</w:p>
    <w:p w:rsidR="006246DC" w:rsidRP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  <w:r w:rsidRPr="006246DC">
        <w:rPr>
          <w:u w:val="single"/>
        </w:rPr>
        <w:t xml:space="preserve">Nível III – Regularidade Fiscal Federal: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>• Prova de Quitação com a Fazenda Federal (Secretaria da Receita Federal e Procuradoria Geral da Fazenda Nacional-</w:t>
      </w:r>
      <w:proofErr w:type="gramStart"/>
      <w:r>
        <w:t>Dívida Ativa</w:t>
      </w:r>
      <w:proofErr w:type="gramEnd"/>
      <w:r>
        <w:t xml:space="preserve">);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Certidão Negativa do FGTS; </w:t>
      </w:r>
      <w:proofErr w:type="gramStart"/>
      <w:r>
        <w:t>e</w:t>
      </w:r>
      <w:proofErr w:type="gramEnd"/>
      <w:r>
        <w:t xml:space="preserve">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Certidão Negativa do INSS.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</w:p>
    <w:p w:rsidR="006246DC" w:rsidRP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  <w:r w:rsidRPr="006246DC">
        <w:rPr>
          <w:u w:val="single"/>
        </w:rPr>
        <w:t xml:space="preserve">Nível IV – Regularidade Fiscal Estadual e Municipal: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Prova de inscrição no Cadastro de Contribuintes Estadual ou Municipal, se houver;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Prova de Quitação com a Fazenda Estadual e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Prova de Quitação com a Fazenda Municipal.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</w:p>
    <w:p w:rsidR="00527E81" w:rsidRDefault="00527E81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</w:p>
    <w:p w:rsidR="006246DC" w:rsidRP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  <w:r w:rsidRPr="006246DC">
        <w:rPr>
          <w:u w:val="single"/>
        </w:rPr>
        <w:lastRenderedPageBreak/>
        <w:t xml:space="preserve">Nível V – Qualificação Técnica: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Registro ou Inscrição na Entidade de Classe Competente, quando for o caso.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</w:p>
    <w:p w:rsidR="006246DC" w:rsidRP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u w:val="single"/>
        </w:rPr>
      </w:pPr>
      <w:proofErr w:type="gramStart"/>
      <w:r w:rsidRPr="006246DC">
        <w:rPr>
          <w:u w:val="single"/>
        </w:rPr>
        <w:t>Nível VI</w:t>
      </w:r>
      <w:proofErr w:type="gramEnd"/>
      <w:r w:rsidRPr="006246DC">
        <w:rPr>
          <w:u w:val="single"/>
        </w:rPr>
        <w:t xml:space="preserve"> – Qualificação Econômico-Financeira: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• Balanço Patrimonial e Demonstrações Contábeis (vedada substituição por balancetes/ balanços provisórios), que devem ser atualizados a cada encerramento de exercício social, no prazo máximo de 180 (cento e oitenta) dias; </w:t>
      </w:r>
      <w:proofErr w:type="gramStart"/>
      <w:r>
        <w:t>e</w:t>
      </w:r>
      <w:proofErr w:type="gramEnd"/>
      <w:r>
        <w:t xml:space="preserve"> 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</w:pPr>
      <w:r>
        <w:t>• Certidão Negativa de Pedido de Falência e Concordata.</w:t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13)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Feita a conferência pela unidade </w:t>
      </w:r>
      <w:proofErr w:type="spell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cadastradora</w:t>
      </w:r>
      <w:proofErr w:type="spell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, o cadastro é concluído.</w:t>
      </w:r>
    </w:p>
    <w:p w:rsidR="006246DC" w:rsidRDefault="006246DC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pt-BR"/>
        </w:rPr>
      </w:pPr>
    </w:p>
    <w:p w:rsidR="00527E81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b/>
          <w:bCs/>
          <w:color w:val="0A0A0A"/>
          <w:sz w:val="24"/>
          <w:szCs w:val="24"/>
          <w:lang w:eastAsia="pt-BR"/>
        </w:rPr>
        <w:t>Alteração de Contrato Social, Sócios NOVOS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: </w:t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Cópia autenticada do RG e do CPF de todos os sócios e cônjuges, Endereço, Telefone e e-mail em uma página. “SOMENTE RG E CPF” NÃO </w:t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SERÁ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ACEITO NENHUM OUTRO DOCUMENTO (p. ex., carteira de habilitação).</w:t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“Art. 16. </w:t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A regularidade, junto ao SICAF, do fornecedor considerado isento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dos tributos estaduais ou municipais, será comprovada mediante a apresentação de declaração da Fazenda Estadual ou da Fazenda Municipal do domicílio ou sede do fornecedor, ou outra equivalente, na forma da lei.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i/>
          <w:iCs/>
          <w:color w:val="0A0A0A"/>
          <w:sz w:val="24"/>
          <w:szCs w:val="24"/>
          <w:lang w:eastAsia="pt-BR"/>
        </w:rPr>
        <w:t>(Instrução Normativa nº 02, 11 de outubro de 2010 – Seção IV – Art. 16º.</w:t>
      </w:r>
      <w:proofErr w:type="gramStart"/>
      <w:r w:rsidRPr="00CC70E5">
        <w:rPr>
          <w:rFonts w:ascii="Fira Sans" w:eastAsia="Times New Roman" w:hAnsi="Fira Sans" w:cs="Times New Roman"/>
          <w:i/>
          <w:iCs/>
          <w:color w:val="0A0A0A"/>
          <w:sz w:val="24"/>
          <w:szCs w:val="24"/>
          <w:lang w:eastAsia="pt-BR"/>
        </w:rPr>
        <w:t>)</w:t>
      </w:r>
      <w:proofErr w:type="gramEnd"/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“Art. 19.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O balanço patrimonial e as demonstrações contábeis apresentados pelo empresário ou sociedade empresária, para fins de habilitação no SICAF, deverão estar registrados na Junta Comercial ou órgão equivalente na forma da legislação vigente.</w:t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i/>
          <w:iCs/>
          <w:color w:val="0A0A0A"/>
          <w:sz w:val="24"/>
          <w:szCs w:val="24"/>
          <w:lang w:eastAsia="pt-BR"/>
        </w:rPr>
        <w:t xml:space="preserve">(Instrução Normativa nº 02, 11 de outubro de 2010 – </w:t>
      </w:r>
      <w:proofErr w:type="gramStart"/>
      <w:r w:rsidRPr="00CC70E5">
        <w:rPr>
          <w:rFonts w:ascii="Fira Sans" w:eastAsia="Times New Roman" w:hAnsi="Fira Sans" w:cs="Times New Roman"/>
          <w:i/>
          <w:iCs/>
          <w:color w:val="0A0A0A"/>
          <w:sz w:val="24"/>
          <w:szCs w:val="24"/>
          <w:lang w:eastAsia="pt-BR"/>
        </w:rPr>
        <w:t>Seção VI</w:t>
      </w:r>
      <w:proofErr w:type="gramEnd"/>
      <w:r w:rsidRPr="00CC70E5">
        <w:rPr>
          <w:rFonts w:ascii="Fira Sans" w:eastAsia="Times New Roman" w:hAnsi="Fira Sans" w:cs="Times New Roman"/>
          <w:i/>
          <w:iCs/>
          <w:color w:val="0A0A0A"/>
          <w:sz w:val="24"/>
          <w:szCs w:val="24"/>
          <w:lang w:eastAsia="pt-BR"/>
        </w:rPr>
        <w:t xml:space="preserve"> – Art. 19º)</w:t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Ainda referente ao item VI – Qualificação Econômico-Financeira do SICAF os Fornecedores Novos ou empresas Novas e ME, deverão entregar ou o BALANÇO DE ABERTURA, OU O BALANÇO INTERMEDIÁRIO, OU O BALANÇO ANUAL. Para efeito de registro e lançamento do item VI – Qualificação Econômico-Financeira do SICAF, Junto com o Balanço Anual mais a Certidão de Falência e Concordata. Os Fornecedores terão que entregar os dados já completos e somados do item mencionado e assinados pelo Contador (</w:t>
      </w:r>
      <w:hyperlink r:id="rId27" w:tgtFrame="_blank" w:tooltip="Clique para acessar" w:history="1">
        <w:r w:rsidRPr="00CC70E5">
          <w:rPr>
            <w:rFonts w:ascii="Fira Sans" w:eastAsia="Times New Roman" w:hAnsi="Fira Sans" w:cs="Times New Roman"/>
            <w:color w:val="F99653"/>
            <w:sz w:val="24"/>
            <w:szCs w:val="24"/>
            <w:lang w:eastAsia="pt-BR"/>
          </w:rPr>
          <w:t>Clique aqui para acessar o formulário de consolidação dos dados</w:t>
        </w:r>
      </w:hyperlink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). Os dados abaixo são de responsabilidade dos fornecedores</w:t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pois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vão gerar o “índices”, não cabendo a esta unidade analisar os balanços patrimoniais.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b/>
          <w:bCs/>
          <w:color w:val="0A0A0A"/>
          <w:sz w:val="24"/>
          <w:szCs w:val="24"/>
          <w:lang w:eastAsia="pt-BR"/>
        </w:rPr>
        <w:t>Ativo</w:t>
      </w:r>
    </w:p>
    <w:p w:rsidR="00CC70E5" w:rsidRPr="00CC70E5" w:rsidRDefault="00CC70E5" w:rsidP="00CC70E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Circulante,</w:t>
      </w:r>
    </w:p>
    <w:p w:rsidR="00CC70E5" w:rsidRPr="00CC70E5" w:rsidRDefault="00CC70E5" w:rsidP="00CC70E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lastRenderedPageBreak/>
        <w:t>Não circulante</w:t>
      </w:r>
    </w:p>
    <w:p w:rsidR="00CC70E5" w:rsidRPr="00CC70E5" w:rsidRDefault="00CC70E5" w:rsidP="00CC70E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Realizável a LP,</w:t>
      </w:r>
    </w:p>
    <w:p w:rsidR="00CC70E5" w:rsidRPr="00CC70E5" w:rsidRDefault="00CC70E5" w:rsidP="00CC70E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Não Circulante –</w:t>
      </w:r>
    </w:p>
    <w:p w:rsidR="00CC70E5" w:rsidRPr="00CC70E5" w:rsidRDefault="00CC70E5" w:rsidP="00CC70E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Investimentos,</w:t>
      </w:r>
    </w:p>
    <w:p w:rsidR="00CC70E5" w:rsidRPr="00CC70E5" w:rsidRDefault="00CC70E5" w:rsidP="00CC70E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Não Circ. Imobilizado;</w:t>
      </w:r>
    </w:p>
    <w:p w:rsidR="00CC70E5" w:rsidRPr="00CC70E5" w:rsidRDefault="00CC70E5" w:rsidP="00CC70E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Não Circulante Intangível,</w:t>
      </w:r>
    </w:p>
    <w:p w:rsidR="00CC70E5" w:rsidRPr="00CC70E5" w:rsidRDefault="00CC70E5" w:rsidP="00CC70E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Total do ativo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b/>
          <w:bCs/>
          <w:color w:val="0A0A0A"/>
          <w:sz w:val="24"/>
          <w:szCs w:val="24"/>
          <w:lang w:eastAsia="pt-BR"/>
        </w:rPr>
        <w:t>Passivo</w:t>
      </w:r>
    </w:p>
    <w:p w:rsidR="00CC70E5" w:rsidRPr="00CC70E5" w:rsidRDefault="00CC70E5" w:rsidP="00CC70E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Passivo Circulante</w:t>
      </w:r>
    </w:p>
    <w:p w:rsidR="00CC70E5" w:rsidRPr="00CC70E5" w:rsidRDefault="00CC70E5" w:rsidP="00CC70E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Não circulante</w:t>
      </w:r>
    </w:p>
    <w:p w:rsidR="00CC70E5" w:rsidRPr="00CC70E5" w:rsidRDefault="00CC70E5" w:rsidP="00CC70E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Total do Passivo</w:t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PARA FIM DE VALIDAÇÃO DA SEGUNDA FASE ESTA UNIDADE CADASTRADORA SOMENTE ACEITARÁ TODA A DOCUMENTAÇÃO COMPLETA DE CADA ITEM.</w:t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  <w:proofErr w:type="gramEnd"/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 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pt-BR"/>
        </w:rPr>
        <w:t>Consulta à situação do fornecedor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Para consultar a situação de seu cadastro no SICAF, siga os seguintes passos: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1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Acesse o Portal de Compras do Governo Federal,</w:t>
      </w:r>
      <w:hyperlink r:id="rId28" w:tgtFrame="_blank" w:tooltip="Clique para acessar o Comprasnet" w:history="1">
        <w:r w:rsidRPr="00CC70E5">
          <w:rPr>
            <w:rFonts w:ascii="Fira Sans" w:eastAsia="Times New Roman" w:hAnsi="Fira Sans" w:cs="Times New Roman"/>
            <w:color w:val="F99653"/>
            <w:sz w:val="24"/>
            <w:szCs w:val="24"/>
            <w:lang w:eastAsia="pt-BR"/>
          </w:rPr>
          <w:t> </w:t>
        </w:r>
        <w:proofErr w:type="spellStart"/>
        <w:r w:rsidRPr="00CC70E5">
          <w:rPr>
            <w:rFonts w:ascii="Fira Sans" w:eastAsia="Times New Roman" w:hAnsi="Fira Sans" w:cs="Times New Roman"/>
            <w:color w:val="F99653"/>
            <w:sz w:val="24"/>
            <w:szCs w:val="24"/>
            <w:lang w:eastAsia="pt-BR"/>
          </w:rPr>
          <w:t>Comprasnet</w:t>
        </w:r>
        <w:proofErr w:type="spellEnd"/>
      </w:hyperlink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1905000"/>
            <wp:effectExtent l="19050" t="0" r="0" b="0"/>
            <wp:docPr id="9" name="Imagem 9" descr="http://www.pra.ufpr.br/portal/dsg/files/2013/06/passo1-1-300x200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ra.ufpr.br/portal/dsg/files/2013/06/passo1-1-300x200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2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No menu, clique em acesso livre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lastRenderedPageBreak/>
        <w:drawing>
          <wp:inline distT="0" distB="0" distL="0" distR="0">
            <wp:extent cx="2390775" cy="2857500"/>
            <wp:effectExtent l="19050" t="0" r="9525" b="0"/>
            <wp:docPr id="10" name="Imagem 10" descr="http://www.pra.ufpr.br/portal/dsg/files/2013/06/passo1-2-251x30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ra.ufpr.br/portal/dsg/files/2013/06/passo1-2-251x30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3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E escolha a opção “SICAF”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524125" cy="2857500"/>
            <wp:effectExtent l="19050" t="0" r="9525" b="0"/>
            <wp:docPr id="11" name="Imagem 11" descr="http://www.pra.ufpr.br/portal/dsg/files/2013/06/passo1-3-265x300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ra.ufpr.br/portal/dsg/files/2013/06/passo1-3-265x300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4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No menu, vá até “acesso restrito” e escolha a opção “Fornecedor”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1638300"/>
            <wp:effectExtent l="19050" t="0" r="0" b="0"/>
            <wp:docPr id="12" name="Imagem 12" descr="http://www.pra.ufpr.br/portal/dsg/files/2013/06/passo2-4-300x172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ra.ufpr.br/portal/dsg/files/2013/06/passo2-4-300x172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5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Preencha os campos CPF e senha e clique em “avançar”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lastRenderedPageBreak/>
        <w:t>6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No menu, vá até “consulta” e escolha a opção “situação do fornecedor”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2152650"/>
            <wp:effectExtent l="19050" t="0" r="0" b="0"/>
            <wp:docPr id="13" name="Imagem 13" descr="http://www.pra.ufpr.br/portal/dsg/files/2013/06/passo2-5-300x226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ra.ufpr.br/portal/dsg/files/2013/06/passo2-5-300x226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7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Marque o campo referente à Pessoa Jurídica, informe o CNPJ, e clique em “pesquisar”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1495425"/>
            <wp:effectExtent l="19050" t="0" r="0" b="0"/>
            <wp:docPr id="14" name="Imagem 14" descr="http://www.pra.ufpr.br/portal/dsg/files/2013/06/passo2-6-300x157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ra.ufpr.br/portal/dsg/files/2013/06/passo2-6-300x157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8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Será exibida uma tabela com os resultados da pesquisa. Para acessar o relatório, clique em “detalhar</w:t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”</w:t>
      </w:r>
      <w:proofErr w:type="gramEnd"/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1905000"/>
            <wp:effectExtent l="19050" t="0" r="0" b="0"/>
            <wp:docPr id="15" name="Imagem 15" descr="http://www.pra.ufpr.br/portal/dsg/files/2013/06/passo2-7-300x200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ra.ufpr.br/portal/dsg/files/2013/06/passo2-7-300x200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9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Será gerado um arquivo em formato PDF, que poderá ser salvo no seu computador ou impresso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pt-BR"/>
        </w:rPr>
        <w:t>Renovação de cadastro no SICAF</w:t>
      </w:r>
    </w:p>
    <w:p w:rsidR="00CC70E5" w:rsidRPr="00CC70E5" w:rsidRDefault="00CC70E5" w:rsidP="00871E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lastRenderedPageBreak/>
        <w:t>Para renovar seu cadastro no SICAF, é necessário apresentar os seguintes documentos</w:t>
      </w:r>
      <w:r w:rsidR="00A24CB7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(</w:t>
      </w:r>
      <w:r w:rsidR="00871E70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cópias autenticadas ou cópias simples acompanhadas dos originais) 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à unidade </w:t>
      </w:r>
      <w:proofErr w:type="spell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cadastradora</w:t>
      </w:r>
      <w:proofErr w:type="spell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:</w:t>
      </w:r>
      <w:proofErr w:type="gramStart"/>
    </w:p>
    <w:p w:rsidR="00CC70E5" w:rsidRPr="00CC70E5" w:rsidRDefault="00CC70E5" w:rsidP="00CC70E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Cópia do Contrato Social da empresa</w:t>
      </w:r>
    </w:p>
    <w:p w:rsidR="00CC70E5" w:rsidRPr="00CC70E5" w:rsidRDefault="00CC70E5" w:rsidP="00CC70E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Cópia do RG e do CPF de todos os sócios</w:t>
      </w:r>
    </w:p>
    <w:p w:rsidR="00CC70E5" w:rsidRPr="00CC70E5" w:rsidRDefault="00CC70E5" w:rsidP="00CC70E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Cópia do RG e CPF do responsável pelo cadastro</w:t>
      </w:r>
    </w:p>
    <w:p w:rsidR="00CC70E5" w:rsidRPr="00CC70E5" w:rsidRDefault="00CC70E5" w:rsidP="00CC70E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Telefone e e-mail da empresa, dos sócios e do responsável pelo cadastro</w:t>
      </w:r>
      <w:r w:rsidR="00527E81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.</w:t>
      </w:r>
    </w:p>
    <w:p w:rsidR="003E64D0" w:rsidRDefault="003E64D0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pt-BR"/>
        </w:rPr>
      </w:pP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b/>
          <w:bCs/>
          <w:color w:val="000000"/>
          <w:sz w:val="24"/>
          <w:szCs w:val="24"/>
          <w:lang w:eastAsia="pt-BR"/>
        </w:rPr>
        <w:t>Recuperação de senha de acesso ao SICAF</w:t>
      </w:r>
    </w:p>
    <w:p w:rsidR="00CC70E5" w:rsidRPr="00CC70E5" w:rsidRDefault="00CC70E5" w:rsidP="00A24C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Se você esqueceu ou perdeu sua senha, é possível recuperá-la, seguindo os seguintes passos:</w:t>
      </w:r>
    </w:p>
    <w:p w:rsidR="00CC70E5" w:rsidRPr="00CC70E5" w:rsidRDefault="00CC70E5" w:rsidP="00527E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1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Acesse o Portal de Compras do Governo Federal,</w:t>
      </w:r>
      <w:r w:rsidR="00527E81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</w:t>
      </w:r>
      <w:hyperlink r:id="rId43" w:history="1">
        <w:r w:rsidR="00527E81" w:rsidRPr="00C84C54">
          <w:rPr>
            <w:rStyle w:val="Hyperlink"/>
            <w:rFonts w:ascii="Fira Sans" w:eastAsia="Times New Roman" w:hAnsi="Fira Sans" w:cs="Times New Roman"/>
            <w:sz w:val="24"/>
            <w:szCs w:val="24"/>
            <w:lang w:eastAsia="pt-BR"/>
          </w:rPr>
          <w:t> www.comprasgovernamentais.gov.br</w:t>
        </w:r>
      </w:hyperlink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1905000"/>
            <wp:effectExtent l="19050" t="0" r="0" b="0"/>
            <wp:docPr id="16" name="Imagem 16" descr="http://www.pra.ufpr.br/portal/dsg/files/2013/06/passo1-1-300x200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ra.ufpr.br/portal/dsg/files/2013/06/passo1-1-300x200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2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No menu, clique em acesso livre</w:t>
      </w:r>
    </w:p>
    <w:p w:rsidR="00871E70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390775" cy="2857500"/>
            <wp:effectExtent l="19050" t="0" r="9525" b="0"/>
            <wp:docPr id="17" name="Imagem 17" descr="http://www.pra.ufpr.br/portal/dsg/files/2013/06/passo1-2-251x30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ra.ufpr.br/portal/dsg/files/2013/06/passo1-2-251x30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lastRenderedPageBreak/>
        <w:t>3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E escolha a opção “SICAF”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524125" cy="2857500"/>
            <wp:effectExtent l="19050" t="0" r="9525" b="0"/>
            <wp:docPr id="18" name="Imagem 18" descr="http://www.pra.ufpr.br/portal/dsg/files/2013/06/passo1-3-265x300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ra.ufpr.br/portal/dsg/files/2013/06/passo1-3-265x300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4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No menu, vá até “acesso restrito” e escolha a opção “Fornecedor”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1638300"/>
            <wp:effectExtent l="19050" t="0" r="0" b="0"/>
            <wp:docPr id="19" name="Imagem 19" descr="http://www.pra.ufpr.br/portal/dsg/files/2013/06/passo2-4-300x172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ra.ufpr.br/portal/dsg/files/2013/06/passo2-4-300x172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5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Abaixo do campo para digitar a senha, há a opção “Desbloquear/Recuperar Senha”. Clique nela.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1666875"/>
            <wp:effectExtent l="19050" t="0" r="0" b="0"/>
            <wp:docPr id="20" name="Imagem 20" descr="http://www.pra.ufpr.br/portal/dsg/files/2013/06/passo3-5-300x175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ra.ufpr.br/portal/dsg/files/2013/06/passo3-5-300x175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871E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Preencha os campos “e-mail” e “data de nascimento”, referentes ao CPF informado, digite o código de segurança e clique em “solicitar senha”</w:t>
      </w:r>
    </w:p>
    <w:p w:rsidR="00CC70E5" w:rsidRPr="00CC70E5" w:rsidRDefault="00CC70E5" w:rsidP="00871E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lastRenderedPageBreak/>
        <w:drawing>
          <wp:inline distT="0" distB="0" distL="0" distR="0">
            <wp:extent cx="2857500" cy="2105025"/>
            <wp:effectExtent l="19050" t="0" r="0" b="0"/>
            <wp:docPr id="21" name="Imagem 21" descr="http://www.pra.ufpr.br/portal/dsg/files/2013/06/passo1-6-300x221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ra.ufpr.br/portal/dsg/files/2013/06/passo1-6-300x221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7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A senha será enviada para o e-mail informado no passo anterior</w:t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  <w:t>8) De posse da senha, volte à página do SICAF e preencha os campos “CPF” e a “senha” recebida por e-mail. Clique em avançar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1647825"/>
            <wp:effectExtent l="19050" t="0" r="0" b="0"/>
            <wp:docPr id="22" name="Imagem 22" descr="http://www.pra.ufpr.br/portal/dsg/files/2013/06/passo1-8-300x17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ra.ufpr.br/portal/dsg/files/2013/06/passo1-8-300x17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br/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9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) Por questões de segurança, será necessário trocar a senha. Cadastre uma nova senha que seja fácil de lembrar nos próximos acessos!</w:t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>
        <w:rPr>
          <w:rFonts w:ascii="Fira Sans" w:eastAsia="Times New Roman" w:hAnsi="Fira Sans" w:cs="Times New Roman"/>
          <w:noProof/>
          <w:color w:val="F99653"/>
          <w:sz w:val="24"/>
          <w:szCs w:val="24"/>
          <w:lang w:eastAsia="pt-BR"/>
        </w:rPr>
        <w:drawing>
          <wp:inline distT="0" distB="0" distL="0" distR="0">
            <wp:extent cx="2857500" cy="2838450"/>
            <wp:effectExtent l="19050" t="0" r="0" b="0"/>
            <wp:docPr id="23" name="Imagem 23" descr="http://www.pra.ufpr.br/portal/dsg/files/2013/06/passo1-9-300x298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ra.ufpr.br/portal/dsg/files/2013/06/passo1-9-300x298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0E5" w:rsidRPr="00CC70E5" w:rsidRDefault="00CC70E5" w:rsidP="00CC70E5">
      <w:p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IMPORTANTE: Se você não </w:t>
      </w:r>
      <w:proofErr w:type="gram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lembra do</w:t>
      </w:r>
      <w:proofErr w:type="gram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CPF do responsável pelo cadastro, entre em contato com sua unidade </w:t>
      </w:r>
      <w:proofErr w:type="spell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cadastradora</w:t>
      </w:r>
      <w:proofErr w:type="spell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.</w:t>
      </w:r>
    </w:p>
    <w:p w:rsidR="00CC70E5" w:rsidRPr="00CC70E5" w:rsidRDefault="00CC70E5" w:rsidP="003E64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</w:pPr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lastRenderedPageBreak/>
        <w:t xml:space="preserve">Também é possível trocar o responsável pelo cadastro. Para tanto, basta enviar para a unidade </w:t>
      </w:r>
      <w:proofErr w:type="spellStart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>cadastradora</w:t>
      </w:r>
      <w:proofErr w:type="spellEnd"/>
      <w:r w:rsidRPr="00CC70E5">
        <w:rPr>
          <w:rFonts w:ascii="Fira Sans" w:eastAsia="Times New Roman" w:hAnsi="Fira Sans" w:cs="Times New Roman"/>
          <w:color w:val="0A0A0A"/>
          <w:sz w:val="24"/>
          <w:szCs w:val="24"/>
          <w:lang w:eastAsia="pt-BR"/>
        </w:rPr>
        <w:t xml:space="preserve"> cópias autenticadas do RG e CPF, telefone e e-mail do novo responsável, informando que deseja substituir o responsável pelo cadastro.</w:t>
      </w:r>
    </w:p>
    <w:p w:rsidR="00B215C9" w:rsidRDefault="00B215C9" w:rsidP="003E64D0">
      <w:pPr>
        <w:jc w:val="both"/>
      </w:pPr>
    </w:p>
    <w:sectPr w:rsidR="00B215C9" w:rsidSect="00B21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46F90"/>
    <w:multiLevelType w:val="multilevel"/>
    <w:tmpl w:val="791E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F26CF"/>
    <w:multiLevelType w:val="multilevel"/>
    <w:tmpl w:val="1F52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97549A"/>
    <w:multiLevelType w:val="multilevel"/>
    <w:tmpl w:val="C83A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AA2E38"/>
    <w:multiLevelType w:val="multilevel"/>
    <w:tmpl w:val="981A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2E060D"/>
    <w:multiLevelType w:val="multilevel"/>
    <w:tmpl w:val="8488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6F2A9B"/>
    <w:multiLevelType w:val="multilevel"/>
    <w:tmpl w:val="A85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compat/>
  <w:rsids>
    <w:rsidRoot w:val="00CC70E5"/>
    <w:rsid w:val="0034497F"/>
    <w:rsid w:val="003E64D0"/>
    <w:rsid w:val="00432FAF"/>
    <w:rsid w:val="00527E81"/>
    <w:rsid w:val="006246DC"/>
    <w:rsid w:val="00871E70"/>
    <w:rsid w:val="00A24CB7"/>
    <w:rsid w:val="00B14839"/>
    <w:rsid w:val="00B215C9"/>
    <w:rsid w:val="00C22AE4"/>
    <w:rsid w:val="00CB40F7"/>
    <w:rsid w:val="00CC70E5"/>
    <w:rsid w:val="00E5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C9"/>
  </w:style>
  <w:style w:type="paragraph" w:styleId="Ttulo2">
    <w:name w:val="heading 2"/>
    <w:basedOn w:val="Normal"/>
    <w:link w:val="Ttulo2Char"/>
    <w:uiPriority w:val="9"/>
    <w:qFormat/>
    <w:rsid w:val="00CC70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C70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70E5"/>
    <w:rPr>
      <w:b/>
      <w:bCs/>
    </w:rPr>
  </w:style>
  <w:style w:type="character" w:styleId="Hyperlink">
    <w:name w:val="Hyperlink"/>
    <w:basedOn w:val="Fontepargpadro"/>
    <w:uiPriority w:val="99"/>
    <w:unhideWhenUsed/>
    <w:rsid w:val="00CC70E5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C70E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.ufpr.br/portal/dsg/cadastro-de-fornecedores-sicaf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hyperlink" Target="http://www.pra.ufpr.br/portal/dsg/files/2013/06/passo2-6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.ufpr.br/portal/dsg/files/2013/06/passo1-8.jpg" TargetMode="External"/><Relationship Id="rId34" Type="http://schemas.openxmlformats.org/officeDocument/2006/relationships/image" Target="media/image12.jpeg"/><Relationship Id="rId42" Type="http://schemas.openxmlformats.org/officeDocument/2006/relationships/image" Target="media/image16.jpeg"/><Relationship Id="rId47" Type="http://schemas.openxmlformats.org/officeDocument/2006/relationships/theme" Target="theme/theme1.xml"/><Relationship Id="rId7" Type="http://schemas.openxmlformats.org/officeDocument/2006/relationships/hyperlink" Target="http://www.pra.ufpr.br/portal/dsg/cadastro-de-fornecedores-sicaf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pra.ufpr.br/portal/dsg/files/2013/06/passo1-5.jpg" TargetMode="External"/><Relationship Id="rId25" Type="http://schemas.openxmlformats.org/officeDocument/2006/relationships/hyperlink" Target="http://www.pra.ufpr.br/portal/dsg/files/2013/06/passo1-10.jpg" TargetMode="External"/><Relationship Id="rId33" Type="http://schemas.openxmlformats.org/officeDocument/2006/relationships/hyperlink" Target="http://www.pra.ufpr.br/portal/dsg/files/2013/06/passo1-3.jpg" TargetMode="External"/><Relationship Id="rId38" Type="http://schemas.openxmlformats.org/officeDocument/2006/relationships/image" Target="media/image14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://www.pra.ufpr.br/portal/dsg/files/2013/06/passo1-1.jpg" TargetMode="External"/><Relationship Id="rId41" Type="http://schemas.openxmlformats.org/officeDocument/2006/relationships/hyperlink" Target="http://www.pra.ufpr.br/portal/dsg/files/2013/06/passo2-7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.ufpr.br/portal/dsg/cadastro-de-fornecedores-sicaf/" TargetMode="External"/><Relationship Id="rId11" Type="http://schemas.openxmlformats.org/officeDocument/2006/relationships/hyperlink" Target="http://WWW.COMPRASGOVERNAMENTAIS.GOV.BR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1.jpeg"/><Relationship Id="rId37" Type="http://schemas.openxmlformats.org/officeDocument/2006/relationships/hyperlink" Target="http://www.pra.ufpr.br/portal/dsg/files/2013/06/passo2-5.jpg" TargetMode="External"/><Relationship Id="rId40" Type="http://schemas.openxmlformats.org/officeDocument/2006/relationships/image" Target="media/image15.jpeg"/><Relationship Id="rId45" Type="http://schemas.openxmlformats.org/officeDocument/2006/relationships/image" Target="media/image17.jpeg"/><Relationship Id="rId5" Type="http://schemas.openxmlformats.org/officeDocument/2006/relationships/hyperlink" Target="http://www.pra.ufpr.br/portal/dsg/cadastro-de-fornecedores-sicaf/" TargetMode="External"/><Relationship Id="rId15" Type="http://schemas.openxmlformats.org/officeDocument/2006/relationships/hyperlink" Target="http://www.pra.ufpr.br/portal/dsg/files/2014/11/passo1-3_novo.jpg" TargetMode="External"/><Relationship Id="rId23" Type="http://schemas.openxmlformats.org/officeDocument/2006/relationships/hyperlink" Target="http://www.pra.ufpr.br/portal/dsg/files/2013/06/passo1-9.jpg" TargetMode="External"/><Relationship Id="rId28" Type="http://schemas.openxmlformats.org/officeDocument/2006/relationships/hyperlink" Target="http://www.comprasnet.gov.br/" TargetMode="External"/><Relationship Id="rId36" Type="http://schemas.openxmlformats.org/officeDocument/2006/relationships/image" Target="media/image13.jpeg"/><Relationship Id="rId10" Type="http://schemas.openxmlformats.org/officeDocument/2006/relationships/hyperlink" Target="mailto:sicaf.camboriu@ifc.edu.br" TargetMode="External"/><Relationship Id="rId19" Type="http://schemas.openxmlformats.org/officeDocument/2006/relationships/hyperlink" Target="http://www.pra.ufpr.br/portal/dsg/files/2013/06/passo1-6.jpg" TargetMode="External"/><Relationship Id="rId31" Type="http://schemas.openxmlformats.org/officeDocument/2006/relationships/hyperlink" Target="http://www.pra.ufpr.br/portal/dsg/files/2013/06/passo1-2.jpg" TargetMode="External"/><Relationship Id="rId44" Type="http://schemas.openxmlformats.org/officeDocument/2006/relationships/hyperlink" Target="http://www.pra.ufpr.br/portal/dsg/files/2013/06/passo3-5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.ufpr.br/portal/dsg/cadastro-de-fornecedores-sicaf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jpeg"/><Relationship Id="rId27" Type="http://schemas.openxmlformats.org/officeDocument/2006/relationships/hyperlink" Target="http://www.pra.ufpr.br/portal/dsg/files/2014/02/form_item6.pdf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://www.pra.ufpr.br/portal/dsg/files/2013/06/passo2-4.jpg" TargetMode="External"/><Relationship Id="rId43" Type="http://schemas.openxmlformats.org/officeDocument/2006/relationships/hyperlink" Target="http://&#160;www.comprasgovernamentai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1376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mad</cp:lastModifiedBy>
  <cp:revision>6</cp:revision>
  <dcterms:created xsi:type="dcterms:W3CDTF">2018-03-09T12:40:00Z</dcterms:created>
  <dcterms:modified xsi:type="dcterms:W3CDTF">2018-03-09T14:15:00Z</dcterms:modified>
</cp:coreProperties>
</file>