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pageBreakBefore w:val="false"/>
        <w:spacing w:lineRule="auto" w:line="240"/>
        <w:ind w:left="0" w:right="-18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EDITAL N° Nº 12/2023 – GAB/CAMB </w:t>
      </w:r>
    </w:p>
    <w:p>
      <w:pPr>
        <w:pStyle w:val="LOnormal"/>
        <w:pageBreakBefore w:val="false"/>
        <w:spacing w:lineRule="auto" w:line="240"/>
        <w:ind w:left="0" w:right="-18" w:hanging="0"/>
        <w:jc w:val="center"/>
        <w:rPr>
          <w:rFonts w:ascii="Times New Roman" w:hAnsi="Times New Roman" w:eastAsia="Times New Roman" w:cs="Times New Roman"/>
          <w:color w:val="231F20"/>
          <w:sz w:val="20"/>
          <w:szCs w:val="20"/>
        </w:rPr>
      </w:pPr>
      <w:r>
        <w:rPr>
          <w:rFonts w:eastAsia="Times New Roman" w:cs="Times New Roman" w:ascii="Times New Roman" w:hAnsi="Times New Roman"/>
          <w:color w:val="231F20"/>
          <w:sz w:val="20"/>
          <w:szCs w:val="20"/>
        </w:rPr>
      </w:r>
    </w:p>
    <w:p>
      <w:pPr>
        <w:pStyle w:val="LOnormal"/>
        <w:spacing w:lineRule="auto" w:line="240" w:before="0" w:after="0"/>
        <w:ind w:left="426" w:right="260" w:hanging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II - Análise do Currículo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Lattes</w:t>
      </w:r>
    </w:p>
    <w:p>
      <w:pPr>
        <w:pStyle w:val="LOnormal"/>
        <w:pageBreakBefore w:val="false"/>
        <w:spacing w:lineRule="auto" w:line="240" w:before="0" w:after="0"/>
        <w:ind w:left="426" w:right="2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spacing w:lineRule="auto" w:line="240" w:before="0" w:after="0"/>
        <w:ind w:left="426" w:right="2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spacing w:lineRule="auto" w:line="240" w:before="0" w:after="0"/>
        <w:ind w:left="0" w:right="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Candidato________________________________________________________________</w:t>
      </w:r>
    </w:p>
    <w:p>
      <w:pPr>
        <w:pStyle w:val="LOnormal"/>
        <w:pageBreakBefore w:val="false"/>
        <w:spacing w:lineRule="auto" w:line="240" w:before="0" w:after="0"/>
        <w:ind w:left="426" w:right="2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spacing w:lineRule="auto" w:line="240" w:before="0" w:after="0"/>
        <w:ind w:left="426" w:right="2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2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0"/>
        <w:gridCol w:w="1603"/>
        <w:gridCol w:w="1187"/>
        <w:gridCol w:w="3522"/>
        <w:gridCol w:w="767"/>
        <w:gridCol w:w="1305"/>
      </w:tblGrid>
      <w:tr>
        <w:trPr>
          <w:trHeight w:val="585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0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0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 Avaliado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Pontuação máxima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17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Critérios de Pontuação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33" w:right="11" w:hanging="48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Quant.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33" w:right="11" w:hanging="48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33" w:right="181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Pont. pelo candidato (2)</w:t>
            </w:r>
          </w:p>
        </w:tc>
      </w:tr>
      <w:tr>
        <w:trPr>
          <w:trHeight w:val="386" w:hRule="atLeast"/>
        </w:trPr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200"/>
              <w:ind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200"/>
              <w:ind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Produção ou publicação técnica e científica na área de Gestão e Negócios.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200"/>
              <w:ind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63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Coordenação/colaboração em projetos de pesquisa e/ou extensão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386" w:hRule="atLeast"/>
        </w:trPr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0,2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Resumo simples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-63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386" w:hRule="atLeast"/>
        </w:trPr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0,3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Resumo expandido ou artigo técnico em site, revistas e boletins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-63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386" w:hRule="atLeast"/>
        </w:trPr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0,5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Artigo em congresso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-63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386" w:hRule="atLeast"/>
        </w:trPr>
        <w:tc>
          <w:tcPr>
            <w:tcW w:w="6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1,0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Artigo em periódico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-63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267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-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Experiência profissional na área de Gestão e Negócios.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200"/>
              <w:ind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0,0833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pontos para cada mês de experiência, ou seja, a pontuação máxima será de 5 pontos para o candidato que comprovar 60 meses de experiência nesse item.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26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26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24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Cursos complementares e participação em eventos na área da Gestão e Negócios.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200"/>
              <w:ind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0" w:right="-63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pontos para cada 20 horas, ou seja, a pontuação máxima será de 2 pontos para quem comprovar 200 horas nesse item.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20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22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Nota Final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right="-17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260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Somatório das notas obtidas pelo candidato nos 3 (três) itens acima.</w:t>
            </w:r>
          </w:p>
        </w:tc>
        <w:tc>
          <w:tcPr>
            <w:tcW w:w="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426" w:right="26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LOnormal"/>
        <w:pageBreakBefore w:val="false"/>
        <w:spacing w:lineRule="auto" w:line="240" w:before="0" w:after="0"/>
        <w:ind w:left="426" w:right="260" w:hanging="0"/>
        <w:jc w:val="both"/>
        <w:rPr>
          <w:rFonts w:ascii="Times New Roman" w:hAnsi="Times New Roman" w:eastAsia="Times New Roman" w:cs="Times New Roman"/>
          <w:color w:val="1155CC"/>
          <w:sz w:val="24"/>
          <w:szCs w:val="24"/>
        </w:rPr>
      </w:pPr>
      <w:r>
        <w:rPr>
          <w:rFonts w:eastAsia="Times New Roman" w:cs="Times New Roman" w:ascii="Times New Roman" w:hAnsi="Times New Roman"/>
          <w:color w:val="1155CC"/>
          <w:sz w:val="24"/>
          <w:szCs w:val="24"/>
        </w:rPr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720" w:right="26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O candidato deverá informar a quantidade de documentos comprobatórios anexados a este item.</w:t>
      </w:r>
    </w:p>
    <w:p>
      <w:pPr>
        <w:pStyle w:val="LOnormal"/>
        <w:pageBreakBefore w:val="false"/>
        <w:spacing w:lineRule="auto" w:line="240" w:before="0" w:after="0"/>
        <w:ind w:left="720" w:right="2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720" w:right="26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O candidato deverá realizar o somatório de sua pontuação conforme os documentos comprobatórios anexados.</w:t>
      </w:r>
    </w:p>
    <w:p>
      <w:pPr>
        <w:pStyle w:val="LOnormal"/>
        <w:pageBreakBefore w:val="false"/>
        <w:spacing w:lineRule="auto" w:line="240" w:before="0" w:after="0"/>
        <w:ind w:left="0" w:right="2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pageBreakBefore w:val="false"/>
        <w:spacing w:lineRule="auto" w:line="240" w:before="0" w:after="0"/>
        <w:ind w:left="720" w:right="-18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5" w:right="997" w:gutter="0" w:header="165" w:top="1984" w:footer="0" w:bottom="14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</w:r>
  </w:p>
  <w:p>
    <w:pPr>
      <w:pStyle w:val="LOnormal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Rua Joaquim Garcia, s/n – Centro</w:t>
    </w:r>
  </w:p>
  <w:p>
    <w:pPr>
      <w:pStyle w:val="LOnormal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88340-055 – Camboriú (SC)</w:t>
    </w:r>
  </w:p>
  <w:p>
    <w:pPr>
      <w:pStyle w:val="LOnormal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Rasa" w:hAnsi="Rasa" w:eastAsia="Rasa" w:cs="Rasa"/>
        <w:sz w:val="16"/>
        <w:szCs w:val="16"/>
      </w:rPr>
    </w:pPr>
    <w:r>
      <w:rPr>
        <w:rFonts w:eastAsia="Rasa" w:cs="Rasa" w:ascii="Rasa" w:hAnsi="Rasa"/>
        <w:sz w:val="16"/>
        <w:szCs w:val="16"/>
      </w:rPr>
      <w:t>Fone: (47) 2104-0800</w:t>
    </w:r>
  </w:p>
  <w:p>
    <w:pPr>
      <w:pStyle w:val="LOnormal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right"/>
      <w:rPr/>
    </w:pPr>
    <w:hyperlink r:id="rId1">
      <w:r>
        <w:rPr>
          <w:rFonts w:eastAsia="Rasa" w:cs="Rasa" w:ascii="Rasa" w:hAnsi="Rasa"/>
          <w:color w:val="1155CC"/>
          <w:sz w:val="16"/>
          <w:szCs w:val="16"/>
          <w:u w:val="single"/>
        </w:rPr>
        <w:t>www.Camboriú.ifc.edu.br</w:t>
      </w:r>
    </w:hyperlink>
  </w:p>
  <w:p>
    <w:pPr>
      <w:pStyle w:val="LOnormal"/>
      <w:spacing w:lineRule="auto" w:line="240"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lineRule="auto" w:line="240" w:before="0" w:after="0"/>
      <w:ind w:left="0" w:right="7" w:hanging="0"/>
      <w:jc w:val="center"/>
      <w:rPr/>
    </w:pPr>
    <w:r>
      <w:rPr/>
      <w:drawing>
        <wp:inline distT="0" distB="0" distL="0" distR="0">
          <wp:extent cx="382270" cy="4070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407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widowControl w:val="false"/>
      <w:spacing w:lineRule="auto" w:line="288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LOnormal"/>
      <w:widowControl w:val="false"/>
      <w:spacing w:lineRule="auto" w:line="288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LOnormal"/>
      <w:widowControl w:val="false"/>
      <w:pBdr>
        <w:bottom w:val="single" w:sz="8" w:space="2" w:color="000000"/>
      </w:pBdr>
      <w:spacing w:lineRule="auto" w:line="240" w:before="0" w:after="0"/>
      <w:jc w:val="center"/>
      <w:rPr/>
    </w:pPr>
    <w:r>
      <w:rPr>
        <w:rFonts w:eastAsia="Arial" w:cs="Arial" w:ascii="Arial" w:hAnsi="Arial"/>
        <w:sz w:val="20"/>
        <w:szCs w:val="20"/>
      </w:rPr>
      <w:t xml:space="preserve">Instituto Federal de Educação, Ciência e Tecnologia Catarinense - </w:t>
    </w:r>
    <w:r>
      <w:rPr>
        <w:rFonts w:eastAsia="Arial" w:cs="Arial" w:ascii="Arial" w:hAnsi="Arial"/>
        <w:i/>
        <w:sz w:val="20"/>
        <w:szCs w:val="20"/>
      </w:rPr>
      <w:t>Campus Camboriú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4"/>
        <w:u w:val="none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birama.ifc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LibreOffice/7.3.0.3$Windows_X86_64 LibreOffice_project/0f246aa12d0eee4a0f7adcefbf7c878fc2238db3</Application>
  <AppVersion>15.0000</AppVersion>
  <Pages>1</Pages>
  <Words>221</Words>
  <Characters>1266</Characters>
  <CharactersWithSpaces>1451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2023-04-04T16:16:47Z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