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BA" w:rsidRDefault="006506BA" w:rsidP="00F3076A">
      <w:pPr>
        <w:pStyle w:val="Default"/>
        <w:jc w:val="center"/>
        <w:rPr>
          <w:rFonts w:ascii="Spranq eco sans" w:hAnsi="Spranq eco sans"/>
          <w:b/>
          <w:bCs/>
        </w:rPr>
      </w:pPr>
      <w:r>
        <w:rPr>
          <w:rFonts w:ascii="Spranq eco sans" w:hAnsi="Spranq eco sans"/>
          <w:b/>
          <w:bCs/>
        </w:rPr>
        <w:t>ANEXO IV</w:t>
      </w:r>
    </w:p>
    <w:p w:rsidR="006506BA" w:rsidRDefault="006506BA" w:rsidP="00F3076A">
      <w:pPr>
        <w:pStyle w:val="Default"/>
        <w:jc w:val="center"/>
        <w:rPr>
          <w:rFonts w:ascii="Spranq eco sans" w:hAnsi="Spranq eco sans"/>
          <w:b/>
          <w:bCs/>
        </w:rPr>
      </w:pPr>
    </w:p>
    <w:p w:rsidR="009333B0" w:rsidRPr="00B44FC3" w:rsidRDefault="003451C5" w:rsidP="00F3076A">
      <w:pPr>
        <w:pStyle w:val="Default"/>
        <w:jc w:val="center"/>
        <w:rPr>
          <w:rFonts w:ascii="Spranq eco sans" w:hAnsi="Spranq eco sans"/>
        </w:rPr>
      </w:pPr>
      <w:r w:rsidRPr="00B44FC3">
        <w:rPr>
          <w:rFonts w:ascii="Spranq eco sans" w:hAnsi="Spranq eco sans"/>
          <w:b/>
          <w:bCs/>
        </w:rPr>
        <w:t>APRESENTAÇÃO</w:t>
      </w:r>
    </w:p>
    <w:p w:rsidR="009333B0" w:rsidRPr="00B44FC3" w:rsidRDefault="009333B0" w:rsidP="00707EF9">
      <w:pPr>
        <w:pStyle w:val="Default"/>
        <w:jc w:val="both"/>
        <w:rPr>
          <w:rFonts w:ascii="Spranq eco sans" w:hAnsi="Spranq eco sans"/>
        </w:rPr>
      </w:pPr>
    </w:p>
    <w:p w:rsidR="008A5F1E" w:rsidRPr="00B44FC3" w:rsidRDefault="008A5F1E" w:rsidP="008A5F1E">
      <w:pPr>
        <w:pStyle w:val="Default"/>
        <w:ind w:firstLine="851"/>
        <w:jc w:val="both"/>
        <w:rPr>
          <w:rFonts w:ascii="Spranq eco sans" w:hAnsi="Spranq eco sans"/>
        </w:rPr>
      </w:pPr>
      <w:r w:rsidRPr="00B44FC3">
        <w:rPr>
          <w:rFonts w:ascii="Spranq eco sans" w:hAnsi="Spranq eco sans"/>
        </w:rPr>
        <w:t>Ao setor de compras compete, através dos pregoeiros</w:t>
      </w:r>
      <w:r w:rsidR="00D13E92" w:rsidRPr="00B44FC3">
        <w:rPr>
          <w:rFonts w:ascii="Spranq eco sans" w:hAnsi="Spranq eco sans"/>
        </w:rPr>
        <w:t xml:space="preserve"> designados em portaria</w:t>
      </w:r>
      <w:r w:rsidRPr="00B44FC3">
        <w:rPr>
          <w:rFonts w:ascii="Spranq eco sans" w:hAnsi="Spranq eco sans"/>
        </w:rPr>
        <w:t>, planejar, organizar, coordenar, controlar e executar as atividades inerentes aos processos licitatórios, respeitando os dispositivos das Leis, Decretos, Instruções Normativas e demais instrumentos legais,</w:t>
      </w:r>
      <w:r w:rsidR="003451C5" w:rsidRPr="00B44FC3">
        <w:rPr>
          <w:rFonts w:ascii="Spranq eco sans" w:hAnsi="Spranq eco sans"/>
        </w:rPr>
        <w:t xml:space="preserve"> cumprir as determinações legais e atender as orientações da Controladoria Geral da União (CGU) e do Tribunal de Contas da União (TCU), garantindo</w:t>
      </w:r>
      <w:r w:rsidR="00D13E92" w:rsidRPr="00B44FC3">
        <w:rPr>
          <w:rFonts w:ascii="Spranq eco sans" w:hAnsi="Spranq eco sans"/>
        </w:rPr>
        <w:t xml:space="preserve"> os princípios da legalidade, da moralidade, da impessoalidade, da igualdade, da razoabilidade, da proporcionalidade, da motivação, da publicidade, da economicidade, da eficiência, da probidade administrativa, da vinculação ao instrumento convocatório e do julgamento.</w:t>
      </w:r>
    </w:p>
    <w:p w:rsidR="00FF494A" w:rsidRPr="00B44FC3" w:rsidRDefault="00FF494A" w:rsidP="004F542C">
      <w:pPr>
        <w:pStyle w:val="Default"/>
        <w:ind w:firstLine="851"/>
        <w:jc w:val="both"/>
        <w:rPr>
          <w:rFonts w:ascii="Spranq eco sans" w:hAnsi="Spranq eco sans"/>
        </w:rPr>
      </w:pPr>
    </w:p>
    <w:p w:rsidR="004F542C" w:rsidRPr="00B44FC3" w:rsidRDefault="00F3076A" w:rsidP="00F3076A">
      <w:pPr>
        <w:pStyle w:val="Default"/>
        <w:jc w:val="center"/>
        <w:rPr>
          <w:rFonts w:ascii="Spranq eco sans" w:hAnsi="Spranq eco sans"/>
          <w:b/>
        </w:rPr>
      </w:pPr>
      <w:r w:rsidRPr="00B44FC3">
        <w:rPr>
          <w:rFonts w:ascii="Spranq eco sans" w:hAnsi="Spranq eco sans"/>
          <w:b/>
        </w:rPr>
        <w:t>TRÂMITE PROCESSUAL PARA COMPRAS DE BENS E SERVIÇOS</w:t>
      </w:r>
    </w:p>
    <w:p w:rsidR="006D7077" w:rsidRPr="00B44FC3" w:rsidRDefault="006D7077" w:rsidP="00707EF9">
      <w:pPr>
        <w:spacing w:after="0" w:line="240" w:lineRule="auto"/>
        <w:jc w:val="both"/>
        <w:rPr>
          <w:rFonts w:ascii="Spranq eco sans" w:hAnsi="Spranq eco sans" w:cs="Arial"/>
          <w:sz w:val="24"/>
          <w:szCs w:val="24"/>
        </w:rPr>
      </w:pPr>
    </w:p>
    <w:p w:rsidR="006D7077" w:rsidRPr="00B44FC3" w:rsidRDefault="006D7077" w:rsidP="00904CD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Arial"/>
          <w:b/>
          <w:sz w:val="24"/>
          <w:szCs w:val="24"/>
        </w:rPr>
      </w:pPr>
      <w:r w:rsidRPr="00B44FC3">
        <w:rPr>
          <w:rFonts w:ascii="Spranq eco sans" w:hAnsi="Spranq eco sans" w:cs="Arial"/>
          <w:b/>
          <w:sz w:val="24"/>
          <w:szCs w:val="24"/>
        </w:rPr>
        <w:t>PROCEDIMENTOS</w:t>
      </w:r>
    </w:p>
    <w:p w:rsidR="00904CD4" w:rsidRPr="00B44FC3" w:rsidRDefault="00904CD4" w:rsidP="00904CD4">
      <w:pPr>
        <w:pStyle w:val="PargrafodaLista"/>
        <w:spacing w:after="0" w:line="240" w:lineRule="auto"/>
        <w:jc w:val="both"/>
        <w:rPr>
          <w:rFonts w:ascii="Spranq eco sans" w:hAnsi="Spranq eco sans" w:cs="Arial"/>
          <w:b/>
          <w:sz w:val="24"/>
          <w:szCs w:val="24"/>
        </w:rPr>
      </w:pPr>
    </w:p>
    <w:p w:rsidR="00904CD4" w:rsidRPr="00B44FC3" w:rsidRDefault="00904CD4" w:rsidP="00904CD4">
      <w:pPr>
        <w:spacing w:after="0" w:line="240" w:lineRule="auto"/>
        <w:ind w:firstLine="851"/>
        <w:jc w:val="both"/>
        <w:rPr>
          <w:rFonts w:ascii="Spranq eco sans" w:hAnsi="Spranq eco sans" w:cs="Arial"/>
          <w:sz w:val="24"/>
          <w:szCs w:val="24"/>
        </w:rPr>
      </w:pPr>
      <w:r w:rsidRPr="00B44FC3">
        <w:rPr>
          <w:rFonts w:ascii="Spranq eco sans" w:hAnsi="Spranq eco sans" w:cs="Arial"/>
          <w:sz w:val="24"/>
          <w:szCs w:val="24"/>
        </w:rPr>
        <w:t>Como consta no art. 38 da Lei 8.666/93, a abert</w:t>
      </w:r>
      <w:r w:rsidR="00F80AD1" w:rsidRPr="00B44FC3">
        <w:rPr>
          <w:rFonts w:ascii="Spranq eco sans" w:hAnsi="Spranq eco sans" w:cs="Arial"/>
          <w:sz w:val="24"/>
          <w:szCs w:val="24"/>
        </w:rPr>
        <w:t>ura do processo dentro do órgão é</w:t>
      </w:r>
      <w:r w:rsidRPr="00B44FC3">
        <w:rPr>
          <w:rFonts w:ascii="Spranq eco sans" w:hAnsi="Spranq eco sans" w:cs="Arial"/>
          <w:sz w:val="24"/>
          <w:szCs w:val="24"/>
        </w:rPr>
        <w:t xml:space="preserve"> motivada pela </w:t>
      </w:r>
      <w:r w:rsidRPr="00B44FC3">
        <w:rPr>
          <w:rFonts w:ascii="Spranq eco sans" w:hAnsi="Spranq eco sans" w:cs="Arial"/>
          <w:b/>
          <w:sz w:val="24"/>
          <w:szCs w:val="24"/>
        </w:rPr>
        <w:t>SOLICITAÇÃO DE COMPRAS</w:t>
      </w:r>
      <w:r w:rsidRPr="00B44FC3">
        <w:rPr>
          <w:rFonts w:ascii="Spranq eco sans" w:hAnsi="Spranq eco sans" w:cs="Arial"/>
          <w:sz w:val="24"/>
          <w:szCs w:val="24"/>
        </w:rPr>
        <w:t xml:space="preserve"> </w:t>
      </w:r>
      <w:r w:rsidR="005179A4" w:rsidRPr="00B44FC3">
        <w:rPr>
          <w:rFonts w:ascii="Spranq eco sans" w:hAnsi="Spranq eco sans" w:cs="Arial"/>
          <w:sz w:val="24"/>
          <w:szCs w:val="24"/>
        </w:rPr>
        <w:t xml:space="preserve">para aquisição </w:t>
      </w:r>
      <w:r w:rsidRPr="00B44FC3">
        <w:rPr>
          <w:rFonts w:ascii="Spranq eco sans" w:hAnsi="Spranq eco sans" w:cs="Arial"/>
          <w:sz w:val="24"/>
          <w:szCs w:val="24"/>
        </w:rPr>
        <w:t>de materiais ou contratação de</w:t>
      </w:r>
      <w:r w:rsidR="00D571E2">
        <w:rPr>
          <w:rFonts w:ascii="Spranq eco sans" w:hAnsi="Spranq eco sans" w:cs="Arial"/>
          <w:sz w:val="24"/>
          <w:szCs w:val="24"/>
        </w:rPr>
        <w:t xml:space="preserve"> empresa para</w:t>
      </w:r>
      <w:r w:rsidR="005179A4" w:rsidRPr="00B44FC3">
        <w:rPr>
          <w:rFonts w:ascii="Spranq eco sans" w:hAnsi="Spranq eco sans" w:cs="Arial"/>
          <w:sz w:val="24"/>
          <w:szCs w:val="24"/>
        </w:rPr>
        <w:t xml:space="preserve"> prestação de</w:t>
      </w:r>
      <w:r w:rsidRPr="00B44FC3">
        <w:rPr>
          <w:rFonts w:ascii="Spranq eco sans" w:hAnsi="Spranq eco sans" w:cs="Arial"/>
          <w:sz w:val="24"/>
          <w:szCs w:val="24"/>
        </w:rPr>
        <w:t xml:space="preserve"> serviços.</w:t>
      </w:r>
    </w:p>
    <w:p w:rsidR="00904CD4" w:rsidRPr="00B44FC3" w:rsidRDefault="00904CD4" w:rsidP="00904CD4">
      <w:pPr>
        <w:spacing w:after="0" w:line="240" w:lineRule="auto"/>
        <w:ind w:firstLine="851"/>
        <w:jc w:val="both"/>
        <w:rPr>
          <w:rFonts w:ascii="Spranq eco sans" w:hAnsi="Spranq eco sans" w:cs="Arial"/>
          <w:sz w:val="24"/>
          <w:szCs w:val="24"/>
        </w:rPr>
      </w:pPr>
    </w:p>
    <w:p w:rsidR="00904CD4" w:rsidRPr="00B44FC3" w:rsidRDefault="00904CD4" w:rsidP="00904CD4">
      <w:pPr>
        <w:spacing w:after="0" w:line="240" w:lineRule="auto"/>
        <w:ind w:firstLine="851"/>
        <w:jc w:val="both"/>
        <w:rPr>
          <w:rFonts w:ascii="Spranq eco sans" w:hAnsi="Spranq eco sans" w:cs="Arial"/>
          <w:sz w:val="24"/>
          <w:szCs w:val="24"/>
        </w:rPr>
      </w:pPr>
      <w:r w:rsidRPr="00B44FC3">
        <w:rPr>
          <w:rFonts w:ascii="Spranq eco sans" w:hAnsi="Spranq eco sans" w:cs="Arial"/>
          <w:sz w:val="24"/>
          <w:szCs w:val="24"/>
        </w:rPr>
        <w:t>A solicitação de compras é o documento emitido pelo interessado, deferido pelo seu respectivo diretor, encaminhado ao Departamento de Administração e Planejamento (DAP), no setor de compras.</w:t>
      </w:r>
    </w:p>
    <w:p w:rsidR="00F337D7" w:rsidRPr="00B44FC3" w:rsidRDefault="00F337D7" w:rsidP="00904CD4">
      <w:pPr>
        <w:spacing w:after="0" w:line="240" w:lineRule="auto"/>
        <w:ind w:firstLine="851"/>
        <w:jc w:val="both"/>
        <w:rPr>
          <w:rFonts w:ascii="Spranq eco sans" w:hAnsi="Spranq eco sans" w:cs="Arial"/>
          <w:sz w:val="24"/>
          <w:szCs w:val="24"/>
        </w:rPr>
      </w:pPr>
    </w:p>
    <w:p w:rsidR="00904CD4" w:rsidRPr="00B44FC3" w:rsidRDefault="00904CD4" w:rsidP="00904CD4">
      <w:pPr>
        <w:spacing w:after="0" w:line="240" w:lineRule="auto"/>
        <w:ind w:firstLine="851"/>
        <w:jc w:val="both"/>
        <w:rPr>
          <w:rFonts w:ascii="Spranq eco sans" w:hAnsi="Spranq eco sans" w:cs="Arial"/>
          <w:sz w:val="24"/>
          <w:szCs w:val="24"/>
        </w:rPr>
      </w:pPr>
      <w:r w:rsidRPr="00B44FC3">
        <w:rPr>
          <w:rFonts w:ascii="Spranq eco sans" w:hAnsi="Spranq eco sans" w:cs="Arial"/>
          <w:sz w:val="24"/>
          <w:szCs w:val="24"/>
        </w:rPr>
        <w:t>*</w:t>
      </w:r>
      <w:r w:rsidR="00F80AD1" w:rsidRPr="00B44FC3">
        <w:rPr>
          <w:rFonts w:ascii="Spranq eco sans" w:hAnsi="Spranq eco sans" w:cs="Arial"/>
          <w:sz w:val="24"/>
          <w:szCs w:val="24"/>
        </w:rPr>
        <w:t xml:space="preserve">O formulário </w:t>
      </w:r>
      <w:r w:rsidRPr="00B44FC3">
        <w:rPr>
          <w:rFonts w:ascii="Spranq eco sans" w:hAnsi="Spranq eco sans" w:cs="Arial"/>
          <w:sz w:val="24"/>
          <w:szCs w:val="24"/>
        </w:rPr>
        <w:t xml:space="preserve">encontra-se no site do IFC – </w:t>
      </w:r>
      <w:r w:rsidRPr="00B44FC3">
        <w:rPr>
          <w:rFonts w:ascii="Spranq eco sans" w:hAnsi="Spranq eco sans" w:cs="Arial"/>
          <w:i/>
          <w:sz w:val="24"/>
          <w:szCs w:val="24"/>
        </w:rPr>
        <w:t>Campus</w:t>
      </w:r>
      <w:r w:rsidRPr="00B44FC3">
        <w:rPr>
          <w:rFonts w:ascii="Spranq eco sans" w:hAnsi="Spranq eco sans" w:cs="Arial"/>
          <w:sz w:val="24"/>
          <w:szCs w:val="24"/>
        </w:rPr>
        <w:t xml:space="preserve"> Camboriú em:</w:t>
      </w:r>
    </w:p>
    <w:p w:rsidR="00904CD4" w:rsidRDefault="00246CB8" w:rsidP="00904CD4">
      <w:pPr>
        <w:spacing w:after="0" w:line="240" w:lineRule="auto"/>
        <w:ind w:firstLine="851"/>
        <w:jc w:val="both"/>
      </w:pPr>
      <w:hyperlink r:id="rId8" w:history="1">
        <w:r w:rsidR="00904CD4" w:rsidRPr="00B44FC3">
          <w:rPr>
            <w:rStyle w:val="Hyperlink"/>
            <w:rFonts w:ascii="Spranq eco sans" w:hAnsi="Spranq eco sans" w:cs="Arial"/>
            <w:sz w:val="24"/>
            <w:szCs w:val="24"/>
          </w:rPr>
          <w:t>http://www.camboriu.ifc.edu.br/dap/?p=630</w:t>
        </w:r>
      </w:hyperlink>
    </w:p>
    <w:p w:rsidR="00A95D5A" w:rsidRPr="00B44FC3" w:rsidRDefault="00A95D5A" w:rsidP="00904CD4">
      <w:pPr>
        <w:spacing w:after="0" w:line="240" w:lineRule="auto"/>
        <w:ind w:firstLine="851"/>
        <w:jc w:val="both"/>
        <w:rPr>
          <w:rFonts w:ascii="Spranq eco sans" w:hAnsi="Spranq eco sans" w:cs="Arial"/>
          <w:sz w:val="24"/>
          <w:szCs w:val="24"/>
        </w:rPr>
      </w:pPr>
    </w:p>
    <w:p w:rsidR="00E93985" w:rsidRPr="00D571E2" w:rsidRDefault="00246CB8" w:rsidP="00D571E2">
      <w:pPr>
        <w:spacing w:after="0" w:line="240" w:lineRule="auto"/>
        <w:jc w:val="both"/>
        <w:rPr>
          <w:rFonts w:ascii="Spranq eco sans" w:hAnsi="Spranq eco sans" w:cs="Arial"/>
          <w:sz w:val="24"/>
          <w:szCs w:val="24"/>
        </w:rPr>
      </w:pPr>
      <w:r w:rsidRPr="00246CB8">
        <w:rPr>
          <w:rFonts w:ascii="Spranq eco sans" w:hAnsi="Spranq eco sans" w:cs="Arial"/>
          <w:i/>
          <w:iCs/>
          <w:noProof/>
          <w:lang w:eastAsia="pt-BR" w:bidi="hi-IN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.3pt;margin-top:363.05pt;width:98.45pt;height:30.5pt;z-index:251667456" o:connectortype="straight" strokecolor="red">
            <v:stroke endarrow="block"/>
          </v:shape>
        </w:pict>
      </w:r>
      <w:r w:rsidRPr="00246CB8">
        <w:rPr>
          <w:rFonts w:ascii="Spranq eco sans" w:hAnsi="Spranq eco sans" w:cs="Arial"/>
          <w:i/>
          <w:iCs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66.6pt;margin-top:312.55pt;width:77.45pt;height:59.95pt;z-index:251671552;mso-width-relative:margin;mso-height-relative:margin" strokecolor="red">
            <v:textbox>
              <w:txbxContent>
                <w:p w:rsidR="00F30329" w:rsidRDefault="00F30329" w:rsidP="00D571E2">
                  <w:pPr>
                    <w:jc w:val="both"/>
                  </w:pPr>
                  <w:r>
                    <w:rPr>
                      <w:sz w:val="18"/>
                      <w:szCs w:val="18"/>
                    </w:rPr>
                    <w:t>Identificação do agente responsável pela solicitação.</w:t>
                  </w:r>
                </w:p>
              </w:txbxContent>
            </v:textbox>
          </v:shape>
        </w:pict>
      </w:r>
      <w:r w:rsidRPr="00246CB8">
        <w:rPr>
          <w:rFonts w:ascii="Spranq eco sans" w:hAnsi="Spranq eco sans" w:cs="Arial"/>
          <w:i/>
          <w:iCs/>
          <w:noProof/>
          <w:lang w:eastAsia="pt-BR"/>
        </w:rPr>
        <w:pict>
          <v:shape id="_x0000_s1044" type="#_x0000_t32" style="position:absolute;left:0;text-align:left;margin-left:10.85pt;margin-top:274.7pt;width:97.9pt;height:17.3pt;z-index:251677696" o:connectortype="straight" strokecolor="red">
            <v:stroke endarrow="block"/>
          </v:shape>
        </w:pict>
      </w:r>
      <w:r>
        <w:rPr>
          <w:rFonts w:ascii="Spranq eco sans" w:hAnsi="Spranq eco sans" w:cs="Arial"/>
          <w:noProof/>
          <w:sz w:val="24"/>
          <w:szCs w:val="24"/>
          <w:lang w:eastAsia="pt-BR"/>
        </w:rPr>
        <w:pict>
          <v:shape id="_x0000_s1043" type="#_x0000_t202" style="position:absolute;left:0;text-align:left;margin-left:-66.6pt;margin-top:194.5pt;width:77.45pt;height:104.25pt;z-index:251676672;mso-width-relative:margin;mso-height-relative:margin" strokecolor="red">
            <v:textbox>
              <w:txbxContent>
                <w:p w:rsidR="00D571E2" w:rsidRDefault="00D571E2" w:rsidP="00D571E2">
                  <w:pPr>
                    <w:jc w:val="both"/>
                  </w:pPr>
                  <w:r w:rsidRPr="00133ECD">
                    <w:rPr>
                      <w:sz w:val="18"/>
                      <w:szCs w:val="18"/>
                    </w:rPr>
                    <w:t>Descrever de forma sucinta e clara o objeto que se pretende adquirir ou serviço a</w:t>
                  </w:r>
                  <w:r>
                    <w:t xml:space="preserve"> </w:t>
                  </w:r>
                  <w:r w:rsidRPr="00133ECD">
                    <w:rPr>
                      <w:sz w:val="18"/>
                      <w:szCs w:val="18"/>
                    </w:rPr>
                    <w:t>contratar.</w:t>
                  </w:r>
                </w:p>
              </w:txbxContent>
            </v:textbox>
          </v:shape>
        </w:pict>
      </w:r>
      <w:r>
        <w:rPr>
          <w:rFonts w:ascii="Spranq eco sans" w:hAnsi="Spranq eco sans" w:cs="Arial"/>
          <w:noProof/>
          <w:sz w:val="24"/>
          <w:szCs w:val="24"/>
          <w:lang w:eastAsia="pt-BR"/>
        </w:rPr>
        <w:pict>
          <v:shape id="_x0000_s1040" type="#_x0000_t32" style="position:absolute;left:0;text-align:left;margin-left:318.75pt;margin-top:179.75pt;width:77.2pt;height:51.6pt;flip:x;z-index:251672576" o:connectortype="straight" strokecolor="red" strokeweight=".5pt">
            <v:stroke endarrow="block"/>
          </v:shape>
        </w:pict>
      </w:r>
      <w:r>
        <w:rPr>
          <w:rFonts w:ascii="Spranq eco sans" w:hAnsi="Spranq eco sans" w:cs="Arial"/>
          <w:noProof/>
          <w:sz w:val="24"/>
          <w:szCs w:val="24"/>
          <w:lang w:eastAsia="pt-BR"/>
        </w:rPr>
        <w:pict>
          <v:shape id="_x0000_s1042" type="#_x0000_t32" style="position:absolute;left:0;text-align:left;margin-left:338.95pt;margin-top:377.4pt;width:61.65pt;height:44.35pt;flip:x;z-index:251675648" o:connectortype="straight" strokecolor="red" strokeweight=".5pt">
            <v:stroke endarrow="block"/>
          </v:shape>
        </w:pict>
      </w:r>
      <w:r w:rsidR="00D571E2">
        <w:rPr>
          <w:rFonts w:ascii="Spranq eco sans" w:hAnsi="Spranq eco sans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5093335</wp:posOffset>
            </wp:positionH>
            <wp:positionV relativeFrom="paragraph">
              <wp:posOffset>4254500</wp:posOffset>
            </wp:positionV>
            <wp:extent cx="1269365" cy="979805"/>
            <wp:effectExtent l="19050" t="0" r="6985" b="0"/>
            <wp:wrapThrough wrapText="bothSides">
              <wp:wrapPolygon edited="0">
                <wp:start x="-324" y="0"/>
                <wp:lineTo x="-324" y="20998"/>
                <wp:lineTo x="21719" y="20998"/>
                <wp:lineTo x="21719" y="0"/>
                <wp:lineTo x="-324" y="0"/>
              </wp:wrapPolygon>
            </wp:wrapThrough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pranq eco sans" w:hAnsi="Spranq eco sans" w:cs="Arial"/>
          <w:noProof/>
          <w:sz w:val="24"/>
          <w:szCs w:val="24"/>
        </w:rPr>
        <w:pict>
          <v:shape id="_x0000_s1034" type="#_x0000_t202" style="position:absolute;left:0;text-align:left;margin-left:395.95pt;margin-top:118.45pt;width:101.4pt;height:94.6pt;z-index:251662336;mso-position-horizontal-relative:text;mso-position-vertical-relative:text;mso-width-relative:margin;mso-height-relative:margin" strokecolor="red">
            <v:textbox style="mso-next-textbox:#_x0000_s1034">
              <w:txbxContent>
                <w:p w:rsidR="00F30329" w:rsidRPr="00E93985" w:rsidRDefault="00F30329" w:rsidP="00E93985">
                  <w:pPr>
                    <w:rPr>
                      <w:sz w:val="18"/>
                      <w:szCs w:val="18"/>
                    </w:rPr>
                  </w:pPr>
                  <w:r w:rsidRPr="00E93985">
                    <w:rPr>
                      <w:sz w:val="18"/>
                      <w:szCs w:val="18"/>
                    </w:rPr>
                    <w:t>Deve comprovar a demanda para subsidiar legalmente a abertura do processo de licitação, previsto no art. 3° da Lei Federal n°10.520/02.</w:t>
                  </w:r>
                </w:p>
              </w:txbxContent>
            </v:textbox>
          </v:shape>
        </w:pict>
      </w:r>
      <w:r w:rsidR="00A95D5A">
        <w:rPr>
          <w:rFonts w:ascii="Spranq eco sans" w:hAnsi="Spranq eco sans" w:cs="Arial"/>
          <w:noProof/>
          <w:sz w:val="24"/>
          <w:szCs w:val="24"/>
          <w:lang w:eastAsia="pt-BR"/>
        </w:rPr>
        <w:drawing>
          <wp:inline distT="0" distB="0" distL="0" distR="0">
            <wp:extent cx="5072328" cy="591799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319" cy="592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ECD" w:rsidRPr="00B44FC3" w:rsidRDefault="00133ECD" w:rsidP="00F337D7">
      <w:pPr>
        <w:pStyle w:val="Legenda1"/>
        <w:spacing w:before="0" w:after="0" w:line="240" w:lineRule="auto"/>
        <w:ind w:firstLine="851"/>
        <w:rPr>
          <w:rFonts w:ascii="Spranq eco sans" w:hAnsi="Spranq eco sans" w:cs="Arial"/>
          <w:i w:val="0"/>
          <w:iCs w:val="0"/>
        </w:rPr>
      </w:pPr>
    </w:p>
    <w:p w:rsidR="005179A4" w:rsidRPr="00B44FC3" w:rsidRDefault="00133ECD" w:rsidP="005179A4">
      <w:pPr>
        <w:pStyle w:val="Legenda1"/>
        <w:numPr>
          <w:ilvl w:val="1"/>
          <w:numId w:val="2"/>
        </w:numPr>
        <w:spacing w:before="0" w:after="0" w:line="240" w:lineRule="auto"/>
        <w:rPr>
          <w:rFonts w:ascii="Spranq eco sans" w:hAnsi="Spranq eco sans" w:cs="Arial"/>
          <w:i w:val="0"/>
          <w:iCs w:val="0"/>
          <w:noProof/>
          <w:lang w:eastAsia="pt-BR" w:bidi="ar-SA"/>
        </w:rPr>
      </w:pPr>
      <w:r w:rsidRPr="00B44FC3">
        <w:rPr>
          <w:rFonts w:ascii="Spranq eco sans" w:hAnsi="Spranq eco sans" w:cs="Arial"/>
          <w:b/>
          <w:i w:val="0"/>
          <w:iCs w:val="0"/>
          <w:noProof/>
          <w:lang w:eastAsia="pt-BR" w:bidi="ar-SA"/>
        </w:rPr>
        <w:t>ELEMENTOS PARA COMPOSIÇÃO DA DENOMINAÇÃO DO MATERIA</w:t>
      </w:r>
    </w:p>
    <w:p w:rsidR="005179A4" w:rsidRPr="00B44FC3" w:rsidRDefault="005179A4" w:rsidP="005179A4">
      <w:pPr>
        <w:pStyle w:val="Legenda1"/>
        <w:spacing w:before="0" w:after="0" w:line="240" w:lineRule="auto"/>
        <w:rPr>
          <w:rFonts w:ascii="Spranq eco sans" w:hAnsi="Spranq eco sans" w:cs="Arial"/>
          <w:i w:val="0"/>
          <w:iCs w:val="0"/>
          <w:noProof/>
          <w:lang w:eastAsia="pt-BR" w:bidi="ar-SA"/>
        </w:rPr>
      </w:pPr>
    </w:p>
    <w:p w:rsidR="005179A4" w:rsidRPr="00B44FC3" w:rsidRDefault="005179A4" w:rsidP="005179A4">
      <w:pPr>
        <w:pStyle w:val="Legenda1"/>
        <w:spacing w:before="0" w:after="0" w:line="240" w:lineRule="auto"/>
        <w:ind w:firstLine="851"/>
        <w:rPr>
          <w:rFonts w:ascii="Spranq eco sans" w:hAnsi="Spranq eco sans" w:cs="Arial"/>
          <w:i w:val="0"/>
          <w:iCs w:val="0"/>
          <w:noProof/>
          <w:lang w:eastAsia="pt-BR" w:bidi="ar-SA"/>
        </w:rPr>
      </w:pPr>
      <w:r w:rsidRPr="00B44FC3">
        <w:rPr>
          <w:rFonts w:ascii="Spranq eco sans" w:hAnsi="Spranq eco sans" w:cs="Arial"/>
          <w:i w:val="0"/>
          <w:iCs w:val="0"/>
          <w:noProof/>
          <w:lang w:eastAsia="pt-BR" w:bidi="ar-SA"/>
        </w:rPr>
        <w:t>A descrição do material deve ser sucinta e clara, possibilitando identificar o objeto, sem direcionamento de marca.</w:t>
      </w:r>
    </w:p>
    <w:p w:rsidR="005179A4" w:rsidRPr="00B44FC3" w:rsidRDefault="005179A4" w:rsidP="005179A4">
      <w:pPr>
        <w:pStyle w:val="Legenda1"/>
        <w:spacing w:before="0" w:after="0" w:line="240" w:lineRule="auto"/>
        <w:jc w:val="center"/>
        <w:rPr>
          <w:rFonts w:ascii="Spranq eco sans" w:hAnsi="Spranq eco sans" w:cs="Arial"/>
          <w:i w:val="0"/>
          <w:iCs w:val="0"/>
          <w:noProof/>
          <w:lang w:eastAsia="pt-BR" w:bidi="ar-SA"/>
        </w:rPr>
      </w:pPr>
      <w:r w:rsidRPr="00B44FC3">
        <w:rPr>
          <w:rFonts w:ascii="Spranq eco sans" w:hAnsi="Spranq eco sans" w:cs="Arial"/>
          <w:i w:val="0"/>
          <w:iCs w:val="0"/>
          <w:noProof/>
          <w:lang w:eastAsia="pt-BR" w:bidi="ar-SA"/>
        </w:rPr>
        <w:drawing>
          <wp:inline distT="0" distB="0" distL="0" distR="0">
            <wp:extent cx="5756910" cy="185102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9A4" w:rsidRPr="00B44FC3" w:rsidRDefault="005179A4" w:rsidP="005179A4">
      <w:pPr>
        <w:pStyle w:val="Legenda1"/>
        <w:spacing w:before="0" w:after="0" w:line="240" w:lineRule="auto"/>
        <w:jc w:val="center"/>
        <w:rPr>
          <w:rFonts w:ascii="Spranq eco sans" w:hAnsi="Spranq eco sans" w:cs="Arial"/>
          <w:i w:val="0"/>
          <w:iCs w:val="0"/>
          <w:noProof/>
          <w:lang w:eastAsia="pt-BR" w:bidi="ar-SA"/>
        </w:rPr>
      </w:pPr>
    </w:p>
    <w:p w:rsidR="00133ECD" w:rsidRPr="00B44FC3" w:rsidRDefault="005179A4" w:rsidP="00133ECD">
      <w:pPr>
        <w:pStyle w:val="Legenda1"/>
        <w:numPr>
          <w:ilvl w:val="1"/>
          <w:numId w:val="2"/>
        </w:numPr>
        <w:spacing w:before="0" w:after="0" w:line="240" w:lineRule="auto"/>
        <w:rPr>
          <w:rFonts w:ascii="Spranq eco sans" w:hAnsi="Spranq eco sans" w:cs="Arial"/>
          <w:i w:val="0"/>
          <w:iCs w:val="0"/>
        </w:rPr>
      </w:pPr>
      <w:r w:rsidRPr="00B44FC3">
        <w:rPr>
          <w:rFonts w:ascii="Spranq eco sans" w:hAnsi="Spranq eco sans" w:cs="Arial"/>
          <w:i w:val="0"/>
          <w:iCs w:val="0"/>
          <w:noProof/>
          <w:lang w:eastAsia="pt-BR" w:bidi="ar-SA"/>
        </w:rPr>
        <w:lastRenderedPageBreak/>
        <w:t>EXEMPLOS DE DESCRIÇÃO:</w:t>
      </w:r>
    </w:p>
    <w:p w:rsidR="00904CD4" w:rsidRPr="00B44FC3" w:rsidRDefault="00904CD4" w:rsidP="00904CD4">
      <w:pPr>
        <w:spacing w:after="0" w:line="240" w:lineRule="auto"/>
        <w:jc w:val="both"/>
        <w:rPr>
          <w:rFonts w:ascii="Spranq eco sans" w:eastAsia="SimSun, 'Arial Unicode MS'" w:hAnsi="Spranq eco sans" w:cs="Arial"/>
          <w:kern w:val="3"/>
          <w:sz w:val="24"/>
          <w:szCs w:val="24"/>
          <w:lang w:eastAsia="zh-CN" w:bidi="hi-IN"/>
        </w:rPr>
      </w:pPr>
    </w:p>
    <w:p w:rsidR="00904CD4" w:rsidRPr="00B44FC3" w:rsidRDefault="00904CD4" w:rsidP="005179A4">
      <w:pPr>
        <w:pStyle w:val="Legenda1"/>
        <w:numPr>
          <w:ilvl w:val="2"/>
          <w:numId w:val="2"/>
        </w:numPr>
        <w:spacing w:before="0" w:after="0"/>
        <w:rPr>
          <w:rFonts w:ascii="Spranq eco sans" w:hAnsi="Spranq eco sans" w:cs="Arial"/>
          <w:i w:val="0"/>
        </w:rPr>
      </w:pPr>
      <w:r w:rsidRPr="00B44FC3">
        <w:rPr>
          <w:rFonts w:ascii="Spranq eco sans" w:hAnsi="Spranq eco sans" w:cs="Arial"/>
          <w:i w:val="0"/>
        </w:rPr>
        <w:t>Material de Consumo: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00"/>
        <w:gridCol w:w="3960"/>
        <w:gridCol w:w="1956"/>
        <w:gridCol w:w="1956"/>
      </w:tblGrid>
      <w:tr w:rsidR="00904CD4" w:rsidRPr="00B44FC3" w:rsidTr="00192FA8"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D4" w:rsidRPr="00B44FC3" w:rsidRDefault="00904CD4" w:rsidP="00192FA8">
            <w:pPr>
              <w:pStyle w:val="TableContents"/>
              <w:jc w:val="center"/>
              <w:rPr>
                <w:rFonts w:ascii="Spranq eco sans" w:eastAsia="SimSun, 'Arial Unicode MS'" w:hAnsi="Spranq eco sans" w:cs="Arial"/>
                <w:b/>
                <w:bCs/>
              </w:rPr>
            </w:pPr>
            <w:r w:rsidRPr="00B44FC3">
              <w:rPr>
                <w:rFonts w:ascii="Spranq eco sans" w:eastAsia="SimSun, 'Arial Unicode MS'" w:hAnsi="Spranq eco sans" w:cs="Arial"/>
                <w:b/>
                <w:bCs/>
              </w:rPr>
              <w:t>Item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D4" w:rsidRPr="00B44FC3" w:rsidRDefault="00904CD4" w:rsidP="001D6F56">
            <w:pPr>
              <w:pStyle w:val="TableContents"/>
              <w:jc w:val="center"/>
              <w:rPr>
                <w:rFonts w:ascii="Spranq eco sans" w:eastAsia="SimSun, 'Arial Unicode MS'" w:hAnsi="Spranq eco sans" w:cs="Arial"/>
                <w:b/>
                <w:bCs/>
              </w:rPr>
            </w:pPr>
            <w:r w:rsidRPr="00B44FC3">
              <w:rPr>
                <w:rFonts w:ascii="Spranq eco sans" w:eastAsia="SimSun, 'Arial Unicode MS'" w:hAnsi="Spranq eco sans" w:cs="Arial"/>
                <w:b/>
                <w:bCs/>
              </w:rPr>
              <w:t>Descrição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D4" w:rsidRPr="00B44FC3" w:rsidRDefault="00904CD4" w:rsidP="00192FA8">
            <w:pPr>
              <w:pStyle w:val="TableContents"/>
              <w:jc w:val="center"/>
              <w:rPr>
                <w:rFonts w:ascii="Spranq eco sans" w:eastAsia="SimSun, 'Arial Unicode MS'" w:hAnsi="Spranq eco sans" w:cs="Arial"/>
                <w:b/>
                <w:bCs/>
              </w:rPr>
            </w:pPr>
            <w:r w:rsidRPr="00B44FC3">
              <w:rPr>
                <w:rFonts w:ascii="Spranq eco sans" w:eastAsia="SimSun, 'Arial Unicode MS'" w:hAnsi="Spranq eco sans" w:cs="Arial"/>
                <w:b/>
                <w:bCs/>
              </w:rPr>
              <w:t>Unidade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D4" w:rsidRPr="00B44FC3" w:rsidRDefault="00904CD4" w:rsidP="00192FA8">
            <w:pPr>
              <w:pStyle w:val="TableContents"/>
              <w:jc w:val="center"/>
              <w:rPr>
                <w:rFonts w:ascii="Spranq eco sans" w:eastAsia="SimSun, 'Arial Unicode MS'" w:hAnsi="Spranq eco sans" w:cs="Arial"/>
                <w:b/>
                <w:bCs/>
              </w:rPr>
            </w:pPr>
            <w:r w:rsidRPr="00B44FC3">
              <w:rPr>
                <w:rFonts w:ascii="Spranq eco sans" w:eastAsia="SimSun, 'Arial Unicode MS'" w:hAnsi="Spranq eco sans" w:cs="Arial"/>
                <w:b/>
                <w:bCs/>
              </w:rPr>
              <w:t>Quantidade</w:t>
            </w:r>
          </w:p>
        </w:tc>
      </w:tr>
      <w:tr w:rsidR="00904CD4" w:rsidRPr="00B44FC3" w:rsidTr="00192FA8"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4CD4" w:rsidRPr="00B44FC3" w:rsidRDefault="00904CD4" w:rsidP="00192FA8">
            <w:pPr>
              <w:pStyle w:val="TableContents"/>
              <w:jc w:val="center"/>
              <w:rPr>
                <w:rFonts w:ascii="Spranq eco sans" w:eastAsia="SimSun, 'Arial Unicode MS'" w:hAnsi="Spranq eco sans" w:cs="Arial"/>
              </w:rPr>
            </w:pPr>
            <w:r w:rsidRPr="00B44FC3">
              <w:rPr>
                <w:rFonts w:ascii="Spranq eco sans" w:eastAsia="SimSun, 'Arial Unicode MS'" w:hAnsi="Spranq eco sans" w:cs="Arial"/>
              </w:rPr>
              <w:t>01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4CD4" w:rsidRPr="00B44FC3" w:rsidRDefault="00904CD4" w:rsidP="005179A4">
            <w:pPr>
              <w:pStyle w:val="TableContents"/>
              <w:jc w:val="both"/>
              <w:rPr>
                <w:rFonts w:ascii="Spranq eco sans" w:eastAsia="SimSun, 'Arial Unicode MS'" w:hAnsi="Spranq eco sans" w:cs="Arial"/>
              </w:rPr>
            </w:pPr>
            <w:r w:rsidRPr="00B44FC3">
              <w:rPr>
                <w:rFonts w:ascii="Spranq eco sans" w:eastAsia="SimSun, 'Arial Unicode MS'" w:hAnsi="Spranq eco sans" w:cs="Arial"/>
              </w:rPr>
              <w:t xml:space="preserve">Bloco para recado, </w:t>
            </w:r>
            <w:r w:rsidR="005179A4" w:rsidRPr="00B44FC3">
              <w:rPr>
                <w:rFonts w:ascii="Spranq eco sans" w:eastAsia="SimSun, 'Arial Unicode MS'" w:hAnsi="Spranq eco sans" w:cs="Arial"/>
              </w:rPr>
              <w:t xml:space="preserve">confeccionado em papel alcalino de superfície lisa, bloco com 100 folhas, tamanho 76 x 76mm, </w:t>
            </w:r>
            <w:r w:rsidRPr="00B44FC3">
              <w:rPr>
                <w:rFonts w:ascii="Spranq eco sans" w:eastAsia="SimSun, 'Arial Unicode MS'" w:hAnsi="Spranq eco sans" w:cs="Arial"/>
              </w:rPr>
              <w:t>auto adesivo,</w:t>
            </w:r>
            <w:r w:rsidR="005179A4" w:rsidRPr="00B44FC3">
              <w:rPr>
                <w:rFonts w:ascii="Spranq eco sans" w:eastAsia="SimSun, 'Arial Unicode MS'" w:hAnsi="Spranq eco sans" w:cs="Arial"/>
              </w:rPr>
              <w:t xml:space="preserve"> reposicionável, </w:t>
            </w:r>
            <w:r w:rsidRPr="00B44FC3">
              <w:rPr>
                <w:rFonts w:ascii="Spranq eco sans" w:eastAsia="SimSun, 'Arial Unicode MS'" w:hAnsi="Spranq eco sans" w:cs="Arial"/>
              </w:rPr>
              <w:t>cor amarelo</w:t>
            </w:r>
            <w:r w:rsidR="005179A4" w:rsidRPr="00B44FC3">
              <w:rPr>
                <w:rFonts w:ascii="Spranq eco sans" w:eastAsia="SimSun, 'Arial Unicode MS'" w:hAnsi="Spranq eco sans" w:cs="Arial"/>
              </w:rPr>
              <w:t>.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4CD4" w:rsidRPr="00B44FC3" w:rsidRDefault="00904CD4" w:rsidP="00192FA8">
            <w:pPr>
              <w:pStyle w:val="TableContents"/>
              <w:jc w:val="center"/>
              <w:rPr>
                <w:rFonts w:ascii="Spranq eco sans" w:eastAsia="SimSun, 'Arial Unicode MS'" w:hAnsi="Spranq eco sans" w:cs="Arial"/>
              </w:rPr>
            </w:pPr>
            <w:r w:rsidRPr="00B44FC3">
              <w:rPr>
                <w:rFonts w:ascii="Spranq eco sans" w:eastAsia="SimSun, 'Arial Unicode MS'" w:hAnsi="Spranq eco sans" w:cs="Arial"/>
              </w:rPr>
              <w:t>Bloco com 100 folhas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4CD4" w:rsidRPr="00B44FC3" w:rsidRDefault="00904CD4" w:rsidP="00192FA8">
            <w:pPr>
              <w:pStyle w:val="TableContents"/>
              <w:jc w:val="center"/>
              <w:rPr>
                <w:rFonts w:ascii="Spranq eco sans" w:eastAsia="SimSun, 'Arial Unicode MS'" w:hAnsi="Spranq eco sans" w:cs="Arial"/>
              </w:rPr>
            </w:pPr>
            <w:r w:rsidRPr="00B44FC3">
              <w:rPr>
                <w:rFonts w:ascii="Spranq eco sans" w:eastAsia="SimSun, 'Arial Unicode MS'" w:hAnsi="Spranq eco sans" w:cs="Arial"/>
              </w:rPr>
              <w:t>10</w:t>
            </w:r>
          </w:p>
        </w:tc>
      </w:tr>
    </w:tbl>
    <w:p w:rsidR="00904CD4" w:rsidRPr="00B44FC3" w:rsidRDefault="00904CD4" w:rsidP="00904CD4">
      <w:pPr>
        <w:pStyle w:val="Legenda1"/>
        <w:spacing w:before="0" w:after="0"/>
        <w:ind w:left="1080"/>
        <w:rPr>
          <w:rFonts w:ascii="Spranq eco sans" w:hAnsi="Spranq eco sans" w:cs="Arial"/>
          <w:i w:val="0"/>
        </w:rPr>
      </w:pPr>
    </w:p>
    <w:p w:rsidR="00904CD4" w:rsidRPr="00B44FC3" w:rsidRDefault="00CD3033" w:rsidP="005179A4">
      <w:pPr>
        <w:pStyle w:val="Legenda1"/>
        <w:numPr>
          <w:ilvl w:val="2"/>
          <w:numId w:val="2"/>
        </w:numPr>
        <w:spacing w:before="0" w:after="0"/>
        <w:rPr>
          <w:rFonts w:ascii="Spranq eco sans" w:hAnsi="Spranq eco sans" w:cs="Arial"/>
          <w:i w:val="0"/>
        </w:rPr>
      </w:pPr>
      <w:r w:rsidRPr="00B44FC3">
        <w:rPr>
          <w:rFonts w:ascii="Spranq eco sans" w:hAnsi="Spranq eco sans" w:cs="Arial"/>
          <w:i w:val="0"/>
        </w:rPr>
        <w:t>Serviços de Terceiros: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00"/>
        <w:gridCol w:w="3960"/>
        <w:gridCol w:w="1956"/>
        <w:gridCol w:w="1956"/>
      </w:tblGrid>
      <w:tr w:rsidR="00CD3033" w:rsidRPr="00B44FC3" w:rsidTr="00192FA8"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033" w:rsidRPr="00B44FC3" w:rsidRDefault="00CD3033" w:rsidP="00192FA8">
            <w:pPr>
              <w:pStyle w:val="TableContents"/>
              <w:jc w:val="center"/>
              <w:rPr>
                <w:rFonts w:ascii="Spranq eco sans" w:eastAsia="SimSun, 'Arial Unicode MS'" w:hAnsi="Spranq eco sans" w:cs="Arial"/>
                <w:b/>
                <w:bCs/>
              </w:rPr>
            </w:pPr>
            <w:r w:rsidRPr="00B44FC3">
              <w:rPr>
                <w:rFonts w:ascii="Spranq eco sans" w:eastAsia="SimSun, 'Arial Unicode MS'" w:hAnsi="Spranq eco sans" w:cs="Arial"/>
                <w:b/>
                <w:bCs/>
              </w:rPr>
              <w:t>Item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033" w:rsidRPr="00B44FC3" w:rsidRDefault="00CD3033" w:rsidP="001D6F56">
            <w:pPr>
              <w:pStyle w:val="TableContents"/>
              <w:jc w:val="center"/>
              <w:rPr>
                <w:rFonts w:ascii="Spranq eco sans" w:eastAsia="SimSun, 'Arial Unicode MS'" w:hAnsi="Spranq eco sans" w:cs="Arial"/>
                <w:b/>
                <w:bCs/>
              </w:rPr>
            </w:pPr>
            <w:r w:rsidRPr="00B44FC3">
              <w:rPr>
                <w:rFonts w:ascii="Spranq eco sans" w:eastAsia="SimSun, 'Arial Unicode MS'" w:hAnsi="Spranq eco sans" w:cs="Arial"/>
                <w:b/>
                <w:bCs/>
              </w:rPr>
              <w:t>Descrição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033" w:rsidRPr="00B44FC3" w:rsidRDefault="00CD3033" w:rsidP="00192FA8">
            <w:pPr>
              <w:pStyle w:val="TableContents"/>
              <w:jc w:val="center"/>
              <w:rPr>
                <w:rFonts w:ascii="Spranq eco sans" w:eastAsia="SimSun, 'Arial Unicode MS'" w:hAnsi="Spranq eco sans" w:cs="Arial"/>
                <w:b/>
                <w:bCs/>
              </w:rPr>
            </w:pPr>
            <w:r w:rsidRPr="00B44FC3">
              <w:rPr>
                <w:rFonts w:ascii="Spranq eco sans" w:eastAsia="SimSun, 'Arial Unicode MS'" w:hAnsi="Spranq eco sans" w:cs="Arial"/>
                <w:b/>
                <w:bCs/>
              </w:rPr>
              <w:t>Unidade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033" w:rsidRPr="00B44FC3" w:rsidRDefault="00CD3033" w:rsidP="00192FA8">
            <w:pPr>
              <w:pStyle w:val="TableContents"/>
              <w:jc w:val="center"/>
              <w:rPr>
                <w:rFonts w:ascii="Spranq eco sans" w:eastAsia="SimSun, 'Arial Unicode MS'" w:hAnsi="Spranq eco sans" w:cs="Arial"/>
                <w:b/>
                <w:bCs/>
              </w:rPr>
            </w:pPr>
            <w:r w:rsidRPr="00B44FC3">
              <w:rPr>
                <w:rFonts w:ascii="Spranq eco sans" w:eastAsia="SimSun, 'Arial Unicode MS'" w:hAnsi="Spranq eco sans" w:cs="Arial"/>
                <w:b/>
                <w:bCs/>
              </w:rPr>
              <w:t>Quantidade</w:t>
            </w:r>
          </w:p>
        </w:tc>
      </w:tr>
      <w:tr w:rsidR="00CD3033" w:rsidRPr="00B44FC3" w:rsidTr="00CD3033"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033" w:rsidRPr="00B44FC3" w:rsidRDefault="00CD3033" w:rsidP="00CD3033">
            <w:pPr>
              <w:pStyle w:val="TableContents"/>
              <w:jc w:val="center"/>
              <w:rPr>
                <w:rFonts w:ascii="Spranq eco sans" w:eastAsia="SimSun, 'Arial Unicode MS'" w:hAnsi="Spranq eco sans" w:cs="Arial"/>
              </w:rPr>
            </w:pPr>
            <w:r w:rsidRPr="00B44FC3">
              <w:rPr>
                <w:rFonts w:ascii="Spranq eco sans" w:eastAsia="SimSun, 'Arial Unicode MS'" w:hAnsi="Spranq eco sans" w:cs="Arial"/>
              </w:rPr>
              <w:t>01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033" w:rsidRPr="00B44FC3" w:rsidRDefault="00CD3033" w:rsidP="00CD3033">
            <w:pPr>
              <w:pStyle w:val="TableContents"/>
              <w:jc w:val="both"/>
              <w:rPr>
                <w:rFonts w:ascii="Spranq eco sans" w:eastAsia="SimSun, 'Arial Unicode MS'" w:hAnsi="Spranq eco sans" w:cs="Arial"/>
              </w:rPr>
            </w:pPr>
            <w:r w:rsidRPr="00B44FC3">
              <w:rPr>
                <w:rFonts w:ascii="Spranq eco sans" w:eastAsia="SimSun, 'Arial Unicode MS'" w:hAnsi="Spranq eco sans" w:cs="Arial"/>
              </w:rPr>
              <w:t>Contratação de empresa especializada na prestação de serviços de ma</w:t>
            </w:r>
            <w:r w:rsidRPr="00B44FC3">
              <w:rPr>
                <w:rFonts w:ascii="Spranq eco sans" w:hAnsi="Spranq eco sans" w:cs="Arial"/>
              </w:rPr>
              <w:t xml:space="preserve">nutenção preventiva e corretiva, instalação e desinstalação dos sistemas de ar condicionado do Instituto Federal Catarinense - </w:t>
            </w:r>
            <w:r w:rsidRPr="00B44FC3">
              <w:rPr>
                <w:rFonts w:ascii="Spranq eco sans" w:hAnsi="Spranq eco sans" w:cs="Arial"/>
                <w:i/>
              </w:rPr>
              <w:t>Campus</w:t>
            </w:r>
            <w:r w:rsidRPr="00B44FC3">
              <w:rPr>
                <w:rFonts w:ascii="Spranq eco sans" w:hAnsi="Spranq eco sans" w:cs="Arial"/>
              </w:rPr>
              <w:t xml:space="preserve"> Camboriú, em ambiente interno e em ambiente externo com altura máxima de 2,0 metros.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033" w:rsidRPr="00B44FC3" w:rsidRDefault="00CD3033" w:rsidP="00CD3033">
            <w:pPr>
              <w:pStyle w:val="TableContents"/>
              <w:jc w:val="center"/>
              <w:rPr>
                <w:rFonts w:ascii="Spranq eco sans" w:eastAsia="SimSun, 'Arial Unicode MS'" w:hAnsi="Spranq eco sans" w:cs="Arial"/>
              </w:rPr>
            </w:pPr>
            <w:r w:rsidRPr="00B44FC3">
              <w:rPr>
                <w:rFonts w:ascii="Spranq eco sans" w:eastAsia="SimSun, 'Arial Unicode MS'" w:hAnsi="Spranq eco sans" w:cs="Arial"/>
              </w:rPr>
              <w:t>Homem/Hora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033" w:rsidRPr="00B44FC3" w:rsidRDefault="00CD3033" w:rsidP="00CD3033">
            <w:pPr>
              <w:pStyle w:val="TableContents"/>
              <w:jc w:val="center"/>
              <w:rPr>
                <w:rFonts w:ascii="Spranq eco sans" w:eastAsia="SimSun, 'Arial Unicode MS'" w:hAnsi="Spranq eco sans" w:cs="Arial"/>
              </w:rPr>
            </w:pPr>
            <w:r w:rsidRPr="00B44FC3">
              <w:rPr>
                <w:rFonts w:ascii="Spranq eco sans" w:eastAsia="SimSun, 'Arial Unicode MS'" w:hAnsi="Spranq eco sans" w:cs="Arial"/>
              </w:rPr>
              <w:t>200</w:t>
            </w:r>
          </w:p>
        </w:tc>
      </w:tr>
    </w:tbl>
    <w:p w:rsidR="00F337D7" w:rsidRPr="00B44FC3" w:rsidRDefault="00F337D7" w:rsidP="00BC675E">
      <w:pPr>
        <w:spacing w:after="0" w:line="240" w:lineRule="auto"/>
        <w:jc w:val="both"/>
        <w:rPr>
          <w:rFonts w:ascii="Spranq eco sans" w:hAnsi="Spranq eco sans" w:cs="Arial"/>
          <w:b/>
          <w:sz w:val="24"/>
          <w:szCs w:val="24"/>
        </w:rPr>
      </w:pPr>
    </w:p>
    <w:p w:rsidR="00BC675E" w:rsidRPr="00B44FC3" w:rsidRDefault="00F337D7" w:rsidP="005179A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Arial"/>
          <w:b/>
          <w:sz w:val="24"/>
          <w:szCs w:val="24"/>
        </w:rPr>
      </w:pPr>
      <w:r w:rsidRPr="00B44FC3">
        <w:rPr>
          <w:rFonts w:ascii="Spranq eco sans" w:hAnsi="Spranq eco sans" w:cs="Arial"/>
          <w:b/>
          <w:sz w:val="24"/>
          <w:szCs w:val="24"/>
        </w:rPr>
        <w:t>INFORMAÇÕES IMPORTANTES</w:t>
      </w:r>
    </w:p>
    <w:p w:rsidR="00F337D7" w:rsidRPr="00B44FC3" w:rsidRDefault="00F337D7" w:rsidP="00F337D7">
      <w:pPr>
        <w:spacing w:after="0" w:line="240" w:lineRule="auto"/>
        <w:ind w:left="360"/>
        <w:jc w:val="both"/>
        <w:rPr>
          <w:rFonts w:ascii="Spranq eco sans" w:hAnsi="Spranq eco sans" w:cs="Arial"/>
          <w:b/>
          <w:sz w:val="24"/>
          <w:szCs w:val="24"/>
        </w:rPr>
      </w:pPr>
    </w:p>
    <w:p w:rsidR="00F337D7" w:rsidRPr="00B44FC3" w:rsidRDefault="00F337D7" w:rsidP="00F337D7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Spranq eco sans" w:hAnsi="Spranq eco sans" w:hint="eastAsia"/>
        </w:rPr>
      </w:pPr>
      <w:r w:rsidRPr="00B44FC3">
        <w:rPr>
          <w:rFonts w:ascii="Spranq eco sans" w:hAnsi="Spranq eco sans" w:cs="Arial"/>
          <w:sz w:val="22"/>
          <w:szCs w:val="22"/>
        </w:rPr>
        <w:t xml:space="preserve">O pedido de compras deve ser </w:t>
      </w:r>
      <w:r w:rsidR="00906C11">
        <w:rPr>
          <w:rFonts w:ascii="Spranq eco sans" w:hAnsi="Spranq eco sans" w:cs="Arial"/>
          <w:sz w:val="22"/>
          <w:szCs w:val="22"/>
        </w:rPr>
        <w:t>protocolado ao setor de compras somente após homologação do resultado do edital.</w:t>
      </w:r>
    </w:p>
    <w:p w:rsidR="00F337D7" w:rsidRPr="00B44FC3" w:rsidRDefault="00F337D7" w:rsidP="00F337D7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Spranq eco sans" w:hAnsi="Spranq eco sans" w:hint="eastAsia"/>
        </w:rPr>
      </w:pPr>
      <w:r w:rsidRPr="00B44FC3">
        <w:rPr>
          <w:rFonts w:ascii="Spranq eco sans" w:hAnsi="Spranq eco sans" w:cs="Arial"/>
          <w:b/>
          <w:bCs/>
          <w:sz w:val="22"/>
          <w:szCs w:val="22"/>
        </w:rPr>
        <w:t>Não indicar marca</w:t>
      </w:r>
      <w:r w:rsidRPr="00B44FC3">
        <w:rPr>
          <w:rFonts w:ascii="Spranq eco sans" w:hAnsi="Spranq eco sans" w:cs="Arial"/>
          <w:bCs/>
          <w:sz w:val="22"/>
          <w:szCs w:val="22"/>
        </w:rPr>
        <w:t xml:space="preserve"> nem modelo de um determinado fabricante, exceto quando:</w:t>
      </w:r>
      <w:r w:rsidRPr="00B44FC3">
        <w:rPr>
          <w:rFonts w:ascii="Spranq eco sans" w:hAnsi="Spranq eco sans"/>
        </w:rPr>
        <w:t xml:space="preserve"> </w:t>
      </w:r>
    </w:p>
    <w:p w:rsidR="00F337D7" w:rsidRPr="00B44FC3" w:rsidRDefault="00F337D7" w:rsidP="00133ECD">
      <w:pPr>
        <w:pStyle w:val="Standard"/>
        <w:autoSpaceDE w:val="0"/>
        <w:spacing w:line="360" w:lineRule="auto"/>
        <w:ind w:left="1211"/>
        <w:jc w:val="both"/>
        <w:rPr>
          <w:rFonts w:ascii="Spranq eco sans" w:hAnsi="Spranq eco sans" w:hint="eastAsia"/>
        </w:rPr>
      </w:pPr>
      <w:r w:rsidRPr="00B44FC3">
        <w:rPr>
          <w:rFonts w:ascii="Spranq eco sans" w:hAnsi="Spranq eco sans" w:cs="Arial"/>
          <w:bCs/>
          <w:sz w:val="22"/>
          <w:szCs w:val="22"/>
        </w:rPr>
        <w:t>- Houver uma justificativa técnica, sendo que esta justificativa responsabiliza o requisitante nos âmbitos administrativo e judicial.</w:t>
      </w:r>
    </w:p>
    <w:p w:rsidR="00F337D7" w:rsidRPr="00B44FC3" w:rsidRDefault="00F337D7" w:rsidP="00133ECD">
      <w:pPr>
        <w:pStyle w:val="Standard"/>
        <w:autoSpaceDE w:val="0"/>
        <w:spacing w:line="360" w:lineRule="auto"/>
        <w:ind w:left="1211"/>
        <w:jc w:val="both"/>
        <w:rPr>
          <w:rFonts w:ascii="Spranq eco sans" w:hAnsi="Spranq eco sans" w:hint="eastAsia"/>
        </w:rPr>
      </w:pPr>
      <w:r w:rsidRPr="00B44FC3">
        <w:rPr>
          <w:rFonts w:ascii="Spranq eco sans" w:hAnsi="Spranq eco sans" w:cs="Arial"/>
          <w:bCs/>
          <w:sz w:val="22"/>
          <w:szCs w:val="22"/>
        </w:rPr>
        <w:t>- A aquisição for de peças, componentes de um referido equipamento/máquina/aparelho.</w:t>
      </w:r>
    </w:p>
    <w:p w:rsidR="00F337D7" w:rsidRPr="00B44FC3" w:rsidRDefault="00133ECD" w:rsidP="00133ECD">
      <w:pPr>
        <w:pStyle w:val="Standard"/>
        <w:autoSpaceDE w:val="0"/>
        <w:spacing w:line="360" w:lineRule="auto"/>
        <w:ind w:left="1211"/>
        <w:jc w:val="both"/>
        <w:rPr>
          <w:rFonts w:ascii="Spranq eco sans" w:hAnsi="Spranq eco sans" w:hint="eastAsia"/>
        </w:rPr>
      </w:pPr>
      <w:r w:rsidRPr="00B44FC3">
        <w:rPr>
          <w:rFonts w:ascii="Spranq eco sans" w:hAnsi="Spranq eco sans" w:cs="Arial"/>
          <w:bCs/>
          <w:sz w:val="22"/>
          <w:szCs w:val="22"/>
        </w:rPr>
        <w:t xml:space="preserve">- </w:t>
      </w:r>
      <w:r w:rsidR="00F337D7" w:rsidRPr="00B44FC3">
        <w:rPr>
          <w:rFonts w:ascii="Spranq eco sans" w:hAnsi="Spranq eco sans" w:cs="Arial"/>
          <w:bCs/>
          <w:sz w:val="22"/>
          <w:szCs w:val="22"/>
        </w:rPr>
        <w:t>Produtos e Serviços que devem ter controle e registro de órgãos, como por exemplo ANVISA, Min. Exército, Polícia Federal, Ministério da Agricultura e outros órgãos: esta exigência deverá constar na descrição, e os respectivos itens serão submetidos à legislação pertinente.</w:t>
      </w:r>
    </w:p>
    <w:p w:rsidR="00F337D7" w:rsidRPr="00B44FC3" w:rsidRDefault="00F337D7" w:rsidP="00F337D7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Spranq eco sans" w:hAnsi="Spranq eco sans" w:hint="eastAsia"/>
        </w:rPr>
      </w:pPr>
      <w:r w:rsidRPr="00B44FC3">
        <w:rPr>
          <w:rFonts w:ascii="Spranq eco sans" w:hAnsi="Spranq eco sans" w:cs="Arial"/>
          <w:bCs/>
          <w:sz w:val="22"/>
          <w:szCs w:val="22"/>
        </w:rPr>
        <w:t xml:space="preserve">Para auxiliá-los na busca de descrições completas, utilizar o site </w:t>
      </w:r>
      <w:r w:rsidRPr="00B44FC3">
        <w:rPr>
          <w:rFonts w:ascii="Spranq eco sans" w:hAnsi="Spranq eco sans" w:cs="Arial"/>
          <w:b/>
          <w:bCs/>
          <w:sz w:val="22"/>
          <w:szCs w:val="22"/>
        </w:rPr>
        <w:t>www.comprasgovernamentais.gov.br</w:t>
      </w:r>
      <w:r w:rsidRPr="00B44FC3">
        <w:rPr>
          <w:rFonts w:ascii="Spranq eco sans" w:hAnsi="Spranq eco sans" w:cs="Arial"/>
          <w:bCs/>
          <w:sz w:val="22"/>
          <w:szCs w:val="22"/>
        </w:rPr>
        <w:t xml:space="preserve">, no menu: Gestor de Compras/Catálogo de Materiais. Existe a possibilidade de escolher </w:t>
      </w:r>
      <w:r w:rsidRPr="00B44FC3">
        <w:rPr>
          <w:rFonts w:ascii="Spranq eco sans" w:hAnsi="Spranq eco sans" w:cs="Arial"/>
          <w:b/>
          <w:bCs/>
          <w:sz w:val="22"/>
          <w:szCs w:val="22"/>
        </w:rPr>
        <w:t>itens sustentáveis</w:t>
      </w:r>
      <w:r w:rsidRPr="00B44FC3">
        <w:rPr>
          <w:rFonts w:ascii="Spranq eco sans" w:hAnsi="Spranq eco sans" w:cs="Arial"/>
          <w:bCs/>
          <w:sz w:val="22"/>
          <w:szCs w:val="22"/>
        </w:rPr>
        <w:t xml:space="preserve"> na pesquisa.</w:t>
      </w:r>
    </w:p>
    <w:p w:rsidR="00F337D7" w:rsidRPr="00B44FC3" w:rsidRDefault="00F337D7" w:rsidP="00F337D7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Spranq eco sans" w:hAnsi="Spranq eco sans" w:hint="eastAsia"/>
        </w:rPr>
      </w:pPr>
      <w:r w:rsidRPr="00B44FC3">
        <w:rPr>
          <w:rFonts w:ascii="Spranq eco sans" w:hAnsi="Spranq eco sans" w:cs="Arial"/>
          <w:bCs/>
          <w:sz w:val="22"/>
          <w:szCs w:val="22"/>
        </w:rPr>
        <w:t>Casos especiais devem ser esclarecid</w:t>
      </w:r>
      <w:r w:rsidR="00D14CCE" w:rsidRPr="00B44FC3">
        <w:rPr>
          <w:rFonts w:ascii="Spranq eco sans" w:hAnsi="Spranq eco sans" w:cs="Arial"/>
          <w:bCs/>
          <w:sz w:val="22"/>
          <w:szCs w:val="22"/>
        </w:rPr>
        <w:t>os junto ao Setor de Compras</w:t>
      </w:r>
      <w:r w:rsidRPr="00B44FC3">
        <w:rPr>
          <w:rFonts w:ascii="Spranq eco sans" w:hAnsi="Spranq eco sans" w:cs="Arial"/>
          <w:bCs/>
          <w:sz w:val="22"/>
          <w:szCs w:val="22"/>
        </w:rPr>
        <w:t xml:space="preserve"> – </w:t>
      </w:r>
      <w:r w:rsidRPr="00B44FC3">
        <w:rPr>
          <w:rFonts w:ascii="Spranq eco sans" w:hAnsi="Spranq eco sans" w:cs="Arial"/>
          <w:bCs/>
          <w:i/>
          <w:sz w:val="22"/>
          <w:szCs w:val="22"/>
        </w:rPr>
        <w:t>Campus</w:t>
      </w:r>
      <w:r w:rsidRPr="00B44FC3">
        <w:rPr>
          <w:rFonts w:ascii="Spranq eco sans" w:hAnsi="Spranq eco sans" w:cs="Arial"/>
          <w:bCs/>
          <w:sz w:val="22"/>
          <w:szCs w:val="22"/>
        </w:rPr>
        <w:t xml:space="preserve"> Camboriú;</w:t>
      </w:r>
    </w:p>
    <w:p w:rsidR="00F337D7" w:rsidRPr="00B44FC3" w:rsidRDefault="00F337D7" w:rsidP="00F337D7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Spranq eco sans" w:hAnsi="Spranq eco sans" w:hint="eastAsia"/>
        </w:rPr>
      </w:pPr>
      <w:r w:rsidRPr="00B44FC3">
        <w:rPr>
          <w:rFonts w:ascii="Spranq eco sans" w:hAnsi="Spranq eco sans" w:cs="Arial"/>
          <w:bCs/>
          <w:sz w:val="22"/>
          <w:szCs w:val="22"/>
        </w:rPr>
        <w:t xml:space="preserve">Assuntos relacionados a recursos orçamentários devem ser dirimidos com o DAP – </w:t>
      </w:r>
      <w:r w:rsidRPr="00B44FC3">
        <w:rPr>
          <w:rFonts w:ascii="Spranq eco sans" w:hAnsi="Spranq eco sans" w:cs="Arial"/>
          <w:bCs/>
          <w:i/>
          <w:sz w:val="22"/>
          <w:szCs w:val="22"/>
        </w:rPr>
        <w:t>Campus</w:t>
      </w:r>
      <w:r w:rsidRPr="00B44FC3">
        <w:rPr>
          <w:rFonts w:ascii="Spranq eco sans" w:hAnsi="Spranq eco sans" w:cs="Arial"/>
          <w:bCs/>
          <w:sz w:val="22"/>
          <w:szCs w:val="22"/>
        </w:rPr>
        <w:t xml:space="preserve"> Camboriú;</w:t>
      </w:r>
    </w:p>
    <w:p w:rsidR="00F337D7" w:rsidRPr="00B44FC3" w:rsidRDefault="00F337D7" w:rsidP="00F337D7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Spranq eco sans" w:hAnsi="Spranq eco sans" w:hint="eastAsia"/>
        </w:rPr>
      </w:pPr>
      <w:r w:rsidRPr="00B44FC3">
        <w:rPr>
          <w:rFonts w:ascii="Spranq eco sans" w:hAnsi="Spranq eco sans" w:cs="Arial"/>
          <w:bCs/>
          <w:sz w:val="22"/>
          <w:szCs w:val="22"/>
        </w:rPr>
        <w:t xml:space="preserve">O processo total de compras, desde a aceitação do pedido, até a entrega do objeto, dura </w:t>
      </w:r>
      <w:r w:rsidRPr="00B44FC3">
        <w:rPr>
          <w:rFonts w:ascii="Spranq eco sans" w:hAnsi="Spranq eco sans" w:cs="Arial"/>
          <w:bCs/>
          <w:sz w:val="22"/>
          <w:szCs w:val="22"/>
        </w:rPr>
        <w:lastRenderedPageBreak/>
        <w:t xml:space="preserve">em torno de </w:t>
      </w:r>
      <w:r w:rsidR="00D14CCE" w:rsidRPr="00B44FC3">
        <w:rPr>
          <w:rFonts w:ascii="Spranq eco sans" w:hAnsi="Spranq eco sans" w:cs="Arial"/>
          <w:bCs/>
          <w:sz w:val="22"/>
          <w:szCs w:val="22"/>
        </w:rPr>
        <w:t>4</w:t>
      </w:r>
      <w:r w:rsidRPr="00B44FC3">
        <w:rPr>
          <w:rFonts w:ascii="Spranq eco sans" w:hAnsi="Spranq eco sans" w:cs="Arial"/>
          <w:bCs/>
          <w:sz w:val="22"/>
          <w:szCs w:val="22"/>
        </w:rPr>
        <w:t xml:space="preserve"> a </w:t>
      </w:r>
      <w:r w:rsidR="00D14CCE" w:rsidRPr="00B44FC3">
        <w:rPr>
          <w:rFonts w:ascii="Spranq eco sans" w:hAnsi="Spranq eco sans" w:cs="Arial"/>
          <w:bCs/>
          <w:sz w:val="22"/>
          <w:szCs w:val="22"/>
        </w:rPr>
        <w:t xml:space="preserve">6 </w:t>
      </w:r>
      <w:r w:rsidRPr="00B44FC3">
        <w:rPr>
          <w:rFonts w:ascii="Spranq eco sans" w:hAnsi="Spranq eco sans" w:cs="Arial"/>
          <w:bCs/>
          <w:sz w:val="22"/>
          <w:szCs w:val="22"/>
        </w:rPr>
        <w:t>meses.</w:t>
      </w:r>
    </w:p>
    <w:p w:rsidR="00B44FC3" w:rsidRPr="00B44FC3" w:rsidRDefault="00B44FC3" w:rsidP="00B44FC3">
      <w:pPr>
        <w:pStyle w:val="Standard"/>
        <w:autoSpaceDE w:val="0"/>
        <w:spacing w:line="360" w:lineRule="auto"/>
        <w:jc w:val="both"/>
        <w:rPr>
          <w:rFonts w:ascii="Spranq eco sans" w:hAnsi="Spranq eco sans" w:cs="Arial" w:hint="eastAsia"/>
          <w:bCs/>
          <w:sz w:val="22"/>
          <w:szCs w:val="22"/>
        </w:rPr>
      </w:pPr>
    </w:p>
    <w:p w:rsidR="00B44FC3" w:rsidRPr="00B44FC3" w:rsidRDefault="00B44FC3">
      <w:pPr>
        <w:spacing w:after="0" w:line="240" w:lineRule="auto"/>
        <w:rPr>
          <w:rFonts w:ascii="Spranq eco sans" w:eastAsia="SimSun" w:hAnsi="Spranq eco sans" w:cs="Mangal" w:hint="eastAsia"/>
          <w:kern w:val="3"/>
          <w:sz w:val="24"/>
          <w:szCs w:val="24"/>
          <w:lang w:eastAsia="zh-CN" w:bidi="hi-IN"/>
        </w:rPr>
      </w:pPr>
    </w:p>
    <w:sectPr w:rsidR="00B44FC3" w:rsidRPr="00B44FC3" w:rsidSect="008C5CBC">
      <w:headerReference w:type="defaul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BFD" w:rsidRDefault="00DB5BFD" w:rsidP="00CC3D38">
      <w:pPr>
        <w:spacing w:after="0" w:line="240" w:lineRule="auto"/>
      </w:pPr>
      <w:r>
        <w:separator/>
      </w:r>
    </w:p>
  </w:endnote>
  <w:endnote w:type="continuationSeparator" w:id="0">
    <w:p w:rsidR="00DB5BFD" w:rsidRDefault="00DB5BFD" w:rsidP="00CC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pranq ec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'Arial Unicode MS'"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BFD" w:rsidRDefault="00DB5BFD" w:rsidP="00CC3D38">
      <w:pPr>
        <w:spacing w:after="0" w:line="240" w:lineRule="auto"/>
      </w:pPr>
      <w:r>
        <w:separator/>
      </w:r>
    </w:p>
  </w:footnote>
  <w:footnote w:type="continuationSeparator" w:id="0">
    <w:p w:rsidR="00DB5BFD" w:rsidRDefault="00DB5BFD" w:rsidP="00CC3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29" w:rsidRPr="008C5CBC" w:rsidRDefault="00F30329" w:rsidP="008C5CBC">
    <w:pPr>
      <w:pStyle w:val="Corpodetexto"/>
      <w:spacing w:after="0" w:line="100" w:lineRule="atLeast"/>
      <w:rPr>
        <w:rFonts w:ascii="Britannic Bold" w:hAnsi="Britannic Bold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427A"/>
    <w:multiLevelType w:val="hybridMultilevel"/>
    <w:tmpl w:val="BE72D3A6"/>
    <w:lvl w:ilvl="0" w:tplc="1D42BE3C">
      <w:start w:val="1"/>
      <w:numFmt w:val="lowerLetter"/>
      <w:lvlText w:val="%1)"/>
      <w:lvlJc w:val="left"/>
      <w:pPr>
        <w:ind w:left="1211" w:hanging="360"/>
      </w:pPr>
      <w:rPr>
        <w:rFonts w:ascii="Spranq eco sans" w:hAnsi="Spranq eco sans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D85D4D"/>
    <w:multiLevelType w:val="hybridMultilevel"/>
    <w:tmpl w:val="18CC8D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F30DF"/>
    <w:multiLevelType w:val="hybridMultilevel"/>
    <w:tmpl w:val="C68C8632"/>
    <w:lvl w:ilvl="0" w:tplc="4DF8B93C">
      <w:start w:val="3"/>
      <w:numFmt w:val="bullet"/>
      <w:lvlText w:val=""/>
      <w:lvlJc w:val="left"/>
      <w:pPr>
        <w:ind w:left="1211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12963C7"/>
    <w:multiLevelType w:val="multilevel"/>
    <w:tmpl w:val="D8F8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C207997"/>
    <w:multiLevelType w:val="multilevel"/>
    <w:tmpl w:val="EF7CFD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4754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552667"/>
    <w:rsid w:val="00011365"/>
    <w:rsid w:val="000304FB"/>
    <w:rsid w:val="000318CB"/>
    <w:rsid w:val="00080311"/>
    <w:rsid w:val="00080981"/>
    <w:rsid w:val="00083F17"/>
    <w:rsid w:val="000A72C4"/>
    <w:rsid w:val="000B376A"/>
    <w:rsid w:val="000B4DC6"/>
    <w:rsid w:val="000B7FF2"/>
    <w:rsid w:val="000C5082"/>
    <w:rsid w:val="000C7547"/>
    <w:rsid w:val="000D7BA7"/>
    <w:rsid w:val="001054AE"/>
    <w:rsid w:val="001225E5"/>
    <w:rsid w:val="00124D9F"/>
    <w:rsid w:val="0013077B"/>
    <w:rsid w:val="00133ECD"/>
    <w:rsid w:val="00134B2C"/>
    <w:rsid w:val="00183D80"/>
    <w:rsid w:val="00192FA8"/>
    <w:rsid w:val="00193E6A"/>
    <w:rsid w:val="001A41D9"/>
    <w:rsid w:val="001C340F"/>
    <w:rsid w:val="001D37FE"/>
    <w:rsid w:val="001D6F56"/>
    <w:rsid w:val="0021666C"/>
    <w:rsid w:val="0021768A"/>
    <w:rsid w:val="0022288D"/>
    <w:rsid w:val="00226A13"/>
    <w:rsid w:val="00246CB8"/>
    <w:rsid w:val="00260902"/>
    <w:rsid w:val="00263D4C"/>
    <w:rsid w:val="00276813"/>
    <w:rsid w:val="002810B1"/>
    <w:rsid w:val="002840A4"/>
    <w:rsid w:val="002C2891"/>
    <w:rsid w:val="002D1B88"/>
    <w:rsid w:val="003006DB"/>
    <w:rsid w:val="00306DA3"/>
    <w:rsid w:val="003347B9"/>
    <w:rsid w:val="00337547"/>
    <w:rsid w:val="0034372E"/>
    <w:rsid w:val="003451C5"/>
    <w:rsid w:val="00353F1D"/>
    <w:rsid w:val="00377324"/>
    <w:rsid w:val="00386A6C"/>
    <w:rsid w:val="00391070"/>
    <w:rsid w:val="003973D2"/>
    <w:rsid w:val="003A0339"/>
    <w:rsid w:val="003E61FE"/>
    <w:rsid w:val="0045709F"/>
    <w:rsid w:val="00457262"/>
    <w:rsid w:val="004865BB"/>
    <w:rsid w:val="004A1FB2"/>
    <w:rsid w:val="004A30FE"/>
    <w:rsid w:val="004B5E78"/>
    <w:rsid w:val="004D1F04"/>
    <w:rsid w:val="004E1B25"/>
    <w:rsid w:val="004F542C"/>
    <w:rsid w:val="00511203"/>
    <w:rsid w:val="0051701F"/>
    <w:rsid w:val="005179A4"/>
    <w:rsid w:val="00517F98"/>
    <w:rsid w:val="00544C50"/>
    <w:rsid w:val="0054618B"/>
    <w:rsid w:val="00552667"/>
    <w:rsid w:val="00554E8C"/>
    <w:rsid w:val="0055525C"/>
    <w:rsid w:val="00566A9C"/>
    <w:rsid w:val="005759EE"/>
    <w:rsid w:val="005973A8"/>
    <w:rsid w:val="005A0F78"/>
    <w:rsid w:val="005A3385"/>
    <w:rsid w:val="005B4890"/>
    <w:rsid w:val="005C0893"/>
    <w:rsid w:val="005C0D90"/>
    <w:rsid w:val="005C1801"/>
    <w:rsid w:val="005C4549"/>
    <w:rsid w:val="005D6BE5"/>
    <w:rsid w:val="0060282A"/>
    <w:rsid w:val="00604A36"/>
    <w:rsid w:val="00610E98"/>
    <w:rsid w:val="006142A8"/>
    <w:rsid w:val="006142FC"/>
    <w:rsid w:val="006372C8"/>
    <w:rsid w:val="006411B9"/>
    <w:rsid w:val="00646D86"/>
    <w:rsid w:val="006506BA"/>
    <w:rsid w:val="006507D0"/>
    <w:rsid w:val="00654673"/>
    <w:rsid w:val="00662BFB"/>
    <w:rsid w:val="006711AD"/>
    <w:rsid w:val="006749B7"/>
    <w:rsid w:val="006853B9"/>
    <w:rsid w:val="006855FE"/>
    <w:rsid w:val="00695871"/>
    <w:rsid w:val="006B1291"/>
    <w:rsid w:val="006C00DE"/>
    <w:rsid w:val="006C3FA6"/>
    <w:rsid w:val="006D28B4"/>
    <w:rsid w:val="006D617F"/>
    <w:rsid w:val="006D7077"/>
    <w:rsid w:val="006F3485"/>
    <w:rsid w:val="006F68CF"/>
    <w:rsid w:val="00707EF9"/>
    <w:rsid w:val="00722ADA"/>
    <w:rsid w:val="0073707C"/>
    <w:rsid w:val="00755DF4"/>
    <w:rsid w:val="00760FE3"/>
    <w:rsid w:val="00773A84"/>
    <w:rsid w:val="007934E8"/>
    <w:rsid w:val="007A158A"/>
    <w:rsid w:val="007A5095"/>
    <w:rsid w:val="007C42F8"/>
    <w:rsid w:val="007F1B99"/>
    <w:rsid w:val="00802A90"/>
    <w:rsid w:val="008401AA"/>
    <w:rsid w:val="008410F2"/>
    <w:rsid w:val="008420E8"/>
    <w:rsid w:val="0084295E"/>
    <w:rsid w:val="008436E0"/>
    <w:rsid w:val="008528DA"/>
    <w:rsid w:val="008802F0"/>
    <w:rsid w:val="008821D8"/>
    <w:rsid w:val="008A129A"/>
    <w:rsid w:val="008A17B6"/>
    <w:rsid w:val="008A5F1E"/>
    <w:rsid w:val="008A6F21"/>
    <w:rsid w:val="008B06B2"/>
    <w:rsid w:val="008B64DE"/>
    <w:rsid w:val="008C1831"/>
    <w:rsid w:val="008C5CBC"/>
    <w:rsid w:val="008D4672"/>
    <w:rsid w:val="008E0412"/>
    <w:rsid w:val="008F09C8"/>
    <w:rsid w:val="00904CD4"/>
    <w:rsid w:val="00906C11"/>
    <w:rsid w:val="0092785C"/>
    <w:rsid w:val="00931D4C"/>
    <w:rsid w:val="009333B0"/>
    <w:rsid w:val="00936619"/>
    <w:rsid w:val="00954EE6"/>
    <w:rsid w:val="009635CA"/>
    <w:rsid w:val="0097247A"/>
    <w:rsid w:val="00984DB0"/>
    <w:rsid w:val="009A3AA3"/>
    <w:rsid w:val="009C1E0B"/>
    <w:rsid w:val="009D4FBF"/>
    <w:rsid w:val="009F26C5"/>
    <w:rsid w:val="00A07CD2"/>
    <w:rsid w:val="00A3766D"/>
    <w:rsid w:val="00A37EFD"/>
    <w:rsid w:val="00A41091"/>
    <w:rsid w:val="00A95D5A"/>
    <w:rsid w:val="00A97A59"/>
    <w:rsid w:val="00AA3B8B"/>
    <w:rsid w:val="00AB3E38"/>
    <w:rsid w:val="00AC4470"/>
    <w:rsid w:val="00AC72D0"/>
    <w:rsid w:val="00AE7504"/>
    <w:rsid w:val="00B1107E"/>
    <w:rsid w:val="00B14066"/>
    <w:rsid w:val="00B30037"/>
    <w:rsid w:val="00B406A6"/>
    <w:rsid w:val="00B44FC3"/>
    <w:rsid w:val="00B4707D"/>
    <w:rsid w:val="00B56CE6"/>
    <w:rsid w:val="00B6274A"/>
    <w:rsid w:val="00B940EF"/>
    <w:rsid w:val="00BA55DE"/>
    <w:rsid w:val="00BC58AA"/>
    <w:rsid w:val="00BC675E"/>
    <w:rsid w:val="00BD3FAD"/>
    <w:rsid w:val="00C15742"/>
    <w:rsid w:val="00C3485E"/>
    <w:rsid w:val="00C442F5"/>
    <w:rsid w:val="00C55AAE"/>
    <w:rsid w:val="00C55BF1"/>
    <w:rsid w:val="00C57652"/>
    <w:rsid w:val="00C71B1F"/>
    <w:rsid w:val="00C81227"/>
    <w:rsid w:val="00C9115A"/>
    <w:rsid w:val="00CA210F"/>
    <w:rsid w:val="00CA5B1C"/>
    <w:rsid w:val="00CA742E"/>
    <w:rsid w:val="00CC1D6D"/>
    <w:rsid w:val="00CC3D38"/>
    <w:rsid w:val="00CD09A0"/>
    <w:rsid w:val="00CD3033"/>
    <w:rsid w:val="00CD769F"/>
    <w:rsid w:val="00D0126A"/>
    <w:rsid w:val="00D045FB"/>
    <w:rsid w:val="00D07CC0"/>
    <w:rsid w:val="00D11BE9"/>
    <w:rsid w:val="00D128F1"/>
    <w:rsid w:val="00D13E92"/>
    <w:rsid w:val="00D14CCE"/>
    <w:rsid w:val="00D31033"/>
    <w:rsid w:val="00D359D3"/>
    <w:rsid w:val="00D37288"/>
    <w:rsid w:val="00D4423A"/>
    <w:rsid w:val="00D52AB5"/>
    <w:rsid w:val="00D55588"/>
    <w:rsid w:val="00D571E2"/>
    <w:rsid w:val="00D60BDC"/>
    <w:rsid w:val="00DB1737"/>
    <w:rsid w:val="00DB5BFD"/>
    <w:rsid w:val="00DB747F"/>
    <w:rsid w:val="00DC47B1"/>
    <w:rsid w:val="00DD3AE4"/>
    <w:rsid w:val="00DE4E1A"/>
    <w:rsid w:val="00DE4EC7"/>
    <w:rsid w:val="00E11B69"/>
    <w:rsid w:val="00E24589"/>
    <w:rsid w:val="00E26A5D"/>
    <w:rsid w:val="00E46E7A"/>
    <w:rsid w:val="00E7066B"/>
    <w:rsid w:val="00E70F7B"/>
    <w:rsid w:val="00E80DEE"/>
    <w:rsid w:val="00E93985"/>
    <w:rsid w:val="00EA4491"/>
    <w:rsid w:val="00EA6118"/>
    <w:rsid w:val="00EC3109"/>
    <w:rsid w:val="00ED28E7"/>
    <w:rsid w:val="00EE15E4"/>
    <w:rsid w:val="00F01C01"/>
    <w:rsid w:val="00F059BB"/>
    <w:rsid w:val="00F30329"/>
    <w:rsid w:val="00F3076A"/>
    <w:rsid w:val="00F337D7"/>
    <w:rsid w:val="00F33C8B"/>
    <w:rsid w:val="00F44EFC"/>
    <w:rsid w:val="00F455A3"/>
    <w:rsid w:val="00F573D2"/>
    <w:rsid w:val="00F716DA"/>
    <w:rsid w:val="00F72F65"/>
    <w:rsid w:val="00F75F76"/>
    <w:rsid w:val="00F80AD1"/>
    <w:rsid w:val="00F85280"/>
    <w:rsid w:val="00FB364D"/>
    <w:rsid w:val="00FD7187"/>
    <w:rsid w:val="00FF0B2F"/>
    <w:rsid w:val="00FF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>
      <o:colormenu v:ext="edit" strokecolor="red"/>
    </o:shapedefaults>
    <o:shapelayout v:ext="edit">
      <o:idmap v:ext="edit" data="1"/>
      <o:rules v:ext="edit">
        <o:r id="V:Rule5" type="connector" idref="#_x0000_s1040"/>
        <o:r id="V:Rule6" type="connector" idref="#_x0000_s1044"/>
        <o:r id="V:Rule7" type="connector" idref="#_x0000_s1028"/>
        <o:r id="V:Rule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70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D38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C3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D38"/>
    <w:rPr>
      <w:rFonts w:cs="Calibri"/>
      <w:lang w:eastAsia="en-US"/>
    </w:rPr>
  </w:style>
  <w:style w:type="paragraph" w:styleId="Corpodetexto">
    <w:name w:val="Body Text"/>
    <w:basedOn w:val="Normal"/>
    <w:link w:val="CorpodetextoChar"/>
    <w:rsid w:val="006411B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411B9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1225E5"/>
  </w:style>
  <w:style w:type="character" w:customStyle="1" w:styleId="tex5a1">
    <w:name w:val="tex5a1"/>
    <w:basedOn w:val="Fontepargpadro"/>
    <w:rsid w:val="001225E5"/>
    <w:rPr>
      <w:rFonts w:ascii="Verdana" w:hAnsi="Verdana" w:hint="default"/>
      <w:color w:val="000000"/>
      <w:sz w:val="14"/>
      <w:szCs w:val="1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B3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B3E38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tex31">
    <w:name w:val="tex31"/>
    <w:basedOn w:val="Fontepargpadro"/>
    <w:rsid w:val="00722ADA"/>
    <w:rPr>
      <w:rFonts w:ascii="Verdana" w:hAnsi="Verdana" w:hint="default"/>
      <w:b w:val="0"/>
      <w:bCs w:val="0"/>
      <w:i w:val="0"/>
      <w:iCs w:val="0"/>
      <w:color w:val="000000"/>
      <w:sz w:val="17"/>
      <w:szCs w:val="1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AA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02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A5F1E"/>
  </w:style>
  <w:style w:type="character" w:styleId="Forte">
    <w:name w:val="Strong"/>
    <w:basedOn w:val="Fontepargpadro"/>
    <w:uiPriority w:val="22"/>
    <w:qFormat/>
    <w:locked/>
    <w:rsid w:val="008A5F1E"/>
    <w:rPr>
      <w:b/>
      <w:bCs/>
    </w:rPr>
  </w:style>
  <w:style w:type="paragraph" w:customStyle="1" w:styleId="Legenda1">
    <w:name w:val="Legenda1"/>
    <w:basedOn w:val="Normal"/>
    <w:rsid w:val="006D7077"/>
    <w:pPr>
      <w:widowControl w:val="0"/>
      <w:suppressLineNumbers/>
      <w:suppressAutoHyphens/>
      <w:autoSpaceDN w:val="0"/>
      <w:spacing w:before="120" w:after="120" w:line="360" w:lineRule="auto"/>
      <w:jc w:val="both"/>
      <w:textAlignment w:val="baseline"/>
    </w:pPr>
    <w:rPr>
      <w:rFonts w:ascii="Arial" w:eastAsia="SimSun, 'Arial Unicode MS'" w:hAnsi="Arial" w:cs="Mangal"/>
      <w:i/>
      <w:iCs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E46E7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6E7A"/>
    <w:rPr>
      <w:color w:val="0000FF" w:themeColor="hyperlink"/>
      <w:u w:val="single"/>
    </w:rPr>
  </w:style>
  <w:style w:type="paragraph" w:customStyle="1" w:styleId="TableContents">
    <w:name w:val="Table Contents"/>
    <w:basedOn w:val="Normal"/>
    <w:rsid w:val="00904C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C67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3973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228269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oriu.ifc.edu.br/dap/?p=6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E5FD-9CA2-4722-8C41-9C7AF93C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IFC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danubia</dc:creator>
  <cp:lastModifiedBy>fabiano</cp:lastModifiedBy>
  <cp:revision>4</cp:revision>
  <cp:lastPrinted>2012-10-31T16:13:00Z</cp:lastPrinted>
  <dcterms:created xsi:type="dcterms:W3CDTF">2017-10-04T19:58:00Z</dcterms:created>
  <dcterms:modified xsi:type="dcterms:W3CDTF">2017-10-09T19:22:00Z</dcterms:modified>
</cp:coreProperties>
</file>