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Srtª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a/</w:t>
      </w:r>
      <w:r>
        <w:rPr>
          <w:sz w:val="20"/>
          <w:szCs w:val="20"/>
        </w:rPr>
        <w:t xml:space="preserve">o 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2"/>
        <w:gridCol w:w="39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Rescisão.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right"/>
        <w:rPr/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LibreOffice/6.0.3.2$Windows_X86_64 LibreOffice_project/8f48d515416608e3a835360314dac7e47fd0b821</Application>
  <Pages>1</Pages>
  <Words>629</Words>
  <Characters>3911</Characters>
  <CharactersWithSpaces>4655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2019-08-15T14:10:28Z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